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8"/>
        </w:rPr>
      </w:pPr>
      <w:bookmarkStart w:id="0" w:name="d81447ddefa14a.htm"/>
      <w:bookmarkStart w:id="1" w:name="ksd81447ddefa14a"/>
      <w:bookmarkEnd w:id="0"/>
      <w:bookmarkEnd w:id="1"/>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120" w:after="0"/>
        <w:jc w:val="center"/>
        <w:rPr>
          <w:rFonts w:ascii="Times New Roman" w:hAnsi="Times New Roman"/>
          <w:b/>
          <w:sz w:val="28"/>
        </w:rPr>
      </w:pPr>
      <w:r>
        <w:rPr>
          <w:rFonts w:ascii="Times New Roman" w:hAnsi="Times New Roman"/>
          <w:b/>
          <w:sz w:val="28"/>
        </w:rPr>
        <w:t xml:space="preserve">SCHEDULE 14A INFORMATION </w:t>
      </w:r>
    </w:p>
    <w:p>
      <w:pPr>
        <w:pStyle w:val="TextBody"/>
        <w:bidi w:val="0"/>
        <w:spacing w:before="0" w:after="0"/>
        <w:jc w:val="center"/>
        <w:rPr>
          <w:rFonts w:ascii="Times New Roman" w:hAnsi="Times New Roman"/>
          <w:sz w:val="24"/>
        </w:rPr>
      </w:pPr>
      <w:r>
        <w:rPr>
          <w:rFonts w:ascii="Times New Roman" w:hAnsi="Times New Roman"/>
          <w:sz w:val="24"/>
        </w:rPr>
        <w:t xml:space="preserve">Proxy Statement Pursuant to Section 14(a) of </w:t>
      </w:r>
    </w:p>
    <w:p>
      <w:pPr>
        <w:pStyle w:val="TextBody"/>
        <w:bidi w:val="0"/>
        <w:spacing w:before="0" w:after="0"/>
        <w:jc w:val="center"/>
        <w:rPr>
          <w:rFonts w:ascii="Times New Roman" w:hAnsi="Times New Roman"/>
          <w:sz w:val="24"/>
        </w:rPr>
      </w:pPr>
      <w:r>
        <w:rPr>
          <w:rFonts w:ascii="Times New Roman" w:hAnsi="Times New Roman"/>
          <w:sz w:val="24"/>
        </w:rPr>
        <w:t xml:space="preserve">the Securities Exchange Act of 1934 (Amendment No. )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
        <w:gridCol w:w="120"/>
        <w:gridCol w:w="9847"/>
      </w:tblGrid>
      <w:tr>
        <w:trPr/>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Preliminary Proxy Statement</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b/>
              </w:rPr>
            </w:pPr>
            <w:r>
              <w:rPr>
                <w:b/>
              </w:rPr>
              <w:t>Confidential, for Use of the Commission Only (as permitted by Rule 14a-6(e)(2))</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Definitive Proxy Statement</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Definitive Additional Materials</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Soliciting Material under Rule 14a-12</w:t>
            </w:r>
          </w:p>
        </w:tc>
      </w:tr>
    </w:tbl>
    <w:p>
      <w:pPr>
        <w:pStyle w:val="TextBody"/>
        <w:bidi w:val="0"/>
        <w:spacing w:before="120" w:after="0"/>
        <w:jc w:val="center"/>
        <w:rPr>
          <w:rFonts w:ascii="Times New Roman" w:hAnsi="Times New Roman"/>
          <w:b/>
          <w:sz w:val="28"/>
        </w:rPr>
      </w:pPr>
      <w:r>
        <w:rPr>
          <w:rFonts w:ascii="Times New Roman" w:hAnsi="Times New Roman"/>
          <w:b/>
          <w:sz w:val="28"/>
        </w:rPr>
        <w:t xml:space="preserve">ALEXANDER’S,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tbl>
      <w:tblPr>
        <w:tblW w:w="5000" w:type="pct"/>
        <w:jc w:val="center"/>
        <w:tblInd w:w="0" w:type="dxa"/>
        <w:tblLayout w:type="fixed"/>
        <w:tblCellMar>
          <w:top w:w="0" w:type="dxa"/>
          <w:left w:w="0" w:type="dxa"/>
          <w:bottom w:w="0" w:type="dxa"/>
          <w:right w:w="0" w:type="dxa"/>
        </w:tblCellMar>
      </w:tblPr>
      <w:tblGrid>
        <w:gridCol w:w="238"/>
        <w:gridCol w:w="120"/>
        <w:gridCol w:w="9847"/>
      </w:tblGrid>
      <w:tr>
        <w:trPr/>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No fee required.</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Fee paid previously with preliminary materials.</w:t>
            </w:r>
          </w:p>
        </w:tc>
      </w:tr>
      <w:tr>
        <w:trPr/>
        <w:tc>
          <w:tcPr>
            <w:tcW w:w="238"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847" w:type="dxa"/>
            <w:tcBorders/>
            <w:vAlign w:val="bottom"/>
          </w:tcPr>
          <w:p>
            <w:pPr>
              <w:pStyle w:val="TableContents"/>
              <w:bidi w:val="0"/>
              <w:spacing w:before="0" w:after="283"/>
              <w:jc w:val="left"/>
              <w:rPr/>
            </w:pPr>
            <w:r>
              <w:rPr/>
              <w:t>Fee computed on table in exhibit required by Item 25(b) below per Exchange Act Rules 14a-6(i)(1) and 0-11.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172960" cy="9309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V88824-P46890 ALEXANDER’S, INC. 2026 Annual Meeting Vote by May 20, 2026 11:59 PM ET ALEXANDER’S, INC. 210 ROUTE 4 EAST PARAMUS, NJ 07652 You invested in ALEXANDER’S, INC. and it’s time to vote! You have the right to vote on proposals being presented at the Annual Meeting. This is an important notice regarding the availability of proxy materials for the stockholder meeting to be held on May 21, 2026. Vote Virtually at the Meeting* May 21, 2026 10:00 A.M., EDT Virtually at: www.virtualshareholdermeeting.com/ALX2026 Get informed before you vote View the Notice and Proxy Statement and Form 10-K online OR you can receive a free paper or email copy of the material(s) by requesting prior to May 7,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Prefer to receive an email instead? While voting on www.ProxyVote.com, be sure to click “Delivery Settings”. Voting Items Board Recommends V88825-P46890 THIS IS NOT A VOTABLE BALLOT This is an overview of the proposals being presented at the upcoming stockholder meeting. Please follow the instructions on the reverse side to vote these important matters. 1. Election of Directors For Nominees: 01) Thomas R. DiBenedetto 02) Mandakini Puri 03) Russell B. Wight, Jr. 2. Approval of the Company’s 2026 Omnibus Stock Plan. For 3. Non-Binding Advisory Resolution on Executive Compensation. For 4. Ratification of the appointment of Deloitte &amp; Touche LLP as the Company’s independent registered public accounting firm for the current year. For NOTE: Such other business as may properly come before the meeting or any adjournment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482</Words>
  <Characters>2601</Characters>
  <CharactersWithSpaces>3089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