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23, 2024</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ALEXANDERS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Charter)</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001-06064</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51-0100517</w:t>
            </w:r>
          </w:p>
        </w:tc>
        <w:tc>
          <w:tcPr>
            <w:tcW w:w="40" w:type="dxa"/>
            <w:vAlign w:val="bottom"/>
          </w:tcPr>
          <w:p>
            <w:pPr>
              <w:spacing w:after="0"/>
              <w:rPr>
                <w:sz w:val="20"/>
                <w:szCs w:val="20"/>
                <w:color w:val="auto"/>
              </w:rPr>
            </w:pPr>
          </w:p>
        </w:tc>
      </w:tr>
      <w:tr>
        <w:trPr>
          <w:trHeight w:val="41"/>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76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(State or Other</w:t>
            </w: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(IRS Employer</w:t>
            </w:r>
          </w:p>
        </w:tc>
        <w:tc>
          <w:tcPr>
            <w:tcW w:w="40" w:type="dxa"/>
            <w:vAlign w:val="bottom"/>
          </w:tcPr>
          <w:p>
            <w:pPr>
              <w:spacing w:after="0"/>
              <w:rPr>
                <w:sz w:val="19"/>
                <w:szCs w:val="19"/>
                <w:color w:val="auto"/>
              </w:rPr>
            </w:pPr>
          </w:p>
        </w:tc>
      </w:tr>
      <w:tr>
        <w:trPr>
          <w:trHeight w:val="265"/>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58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40" w:type="dxa"/>
            <w:vAlign w:val="bottom"/>
          </w:tcPr>
          <w:p>
            <w:pPr>
              <w:spacing w:after="0"/>
              <w:rPr>
                <w:sz w:val="23"/>
                <w:szCs w:val="23"/>
                <w:color w:val="auto"/>
              </w:rPr>
            </w:pPr>
          </w:p>
        </w:tc>
      </w:tr>
      <w:tr>
        <w:trPr>
          <w:trHeight w:val="477"/>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210 Route 4 East</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Paramus, New Jersey</w:t>
            </w:r>
          </w:p>
        </w:tc>
        <w:tc>
          <w:tcPr>
            <w:tcW w:w="266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07652</w:t>
            </w:r>
          </w:p>
        </w:tc>
        <w:tc>
          <w:tcPr>
            <w:tcW w:w="40" w:type="dxa"/>
            <w:vAlign w:val="bottom"/>
          </w:tcPr>
          <w:p>
            <w:pPr>
              <w:spacing w:after="0"/>
              <w:rPr>
                <w:sz w:val="20"/>
                <w:szCs w:val="20"/>
                <w:color w:val="auto"/>
              </w:rPr>
            </w:pPr>
          </w:p>
        </w:tc>
      </w:tr>
      <w:tr>
        <w:trPr>
          <w:trHeight w:val="40"/>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80" w:type="dxa"/>
            <w:vAlign w:val="bottom"/>
            <w:gridSpan w:val="3"/>
          </w:tcPr>
          <w:p>
            <w:pPr>
              <w:spacing w:after="0"/>
              <w:rPr>
                <w:sz w:val="3"/>
                <w:szCs w:val="3"/>
                <w:color w:val="auto"/>
              </w:rPr>
            </w:pPr>
          </w:p>
        </w:tc>
        <w:tc>
          <w:tcPr>
            <w:tcW w:w="2260" w:type="dxa"/>
            <w:vAlign w:val="bottom"/>
            <w:gridSpan w:val="4"/>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gridSpan w:val="2"/>
          </w:tcPr>
          <w:p>
            <w:pPr>
              <w:spacing w:after="0"/>
              <w:rPr>
                <w:sz w:val="19"/>
                <w:szCs w:val="19"/>
                <w:color w:val="auto"/>
              </w:rPr>
            </w:pPr>
          </w:p>
        </w:tc>
        <w:tc>
          <w:tcPr>
            <w:tcW w:w="88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Borders>
              <w:top w:val="single" w:sz="8" w:color="auto"/>
            </w:tcBorders>
          </w:tcPr>
          <w:p>
            <w:pPr>
              <w:spacing w:after="0"/>
              <w:rPr>
                <w:sz w:val="19"/>
                <w:szCs w:val="19"/>
                <w:color w:val="auto"/>
              </w:rPr>
            </w:pPr>
          </w:p>
        </w:tc>
      </w:tr>
      <w:tr>
        <w:trPr>
          <w:trHeight w:val="508"/>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(201) 587-8541</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 N/A</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84" w:lineRule="exact"/>
        <w:rPr>
          <w:sz w:val="24"/>
          <w:szCs w:val="24"/>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42"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4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3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04"/>
        </w:trPr>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$1 par value per share</w:t>
            </w:r>
          </w:p>
        </w:tc>
        <w:tc>
          <w:tcPr>
            <w:tcW w:w="1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ALX</w:t>
            </w:r>
          </w:p>
        </w:tc>
        <w:tc>
          <w:tcPr>
            <w:tcW w:w="16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65" w:lineRule="exact"/>
        <w:rPr>
          <w:sz w:val="24"/>
          <w:szCs w:val="24"/>
          <w:color w:val="auto"/>
        </w:rPr>
      </w:pPr>
    </w:p>
    <w:p>
      <w:pPr>
        <w:jc w:val="both"/>
        <w:ind w:firstLine="225"/>
        <w:spacing w:after="0" w:line="3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39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252095</wp:posOffset>
            </wp:positionV>
            <wp:extent cx="7071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277495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 w:lineRule="exact"/>
        <w:rPr>
          <w:sz w:val="20"/>
          <w:szCs w:val="20"/>
          <w:color w:val="auto"/>
        </w:rPr>
      </w:pPr>
    </w:p>
    <w:p>
      <w:pPr>
        <w:jc w:val="both"/>
        <w:ind w:firstLine="237"/>
        <w:spacing w:after="0" w:line="252" w:lineRule="auto"/>
        <w:rPr>
          <w:sz w:val="20"/>
          <w:szCs w:val="20"/>
          <w:color w:val="auto"/>
        </w:rPr>
      </w:pPr>
      <w:r>
        <w:rPr>
          <w:rFonts w:ascii="Times New Roman" w:cs="Times New Roman" w:eastAsia="Times New Roman" w:hAnsi="Times New Roman"/>
          <w:sz w:val="18"/>
          <w:szCs w:val="18"/>
          <w:color w:val="auto"/>
        </w:rPr>
        <w:t>On May 23, 2024, Alexander’s, Inc. (the “Company”) held its 2024 Annual Meeting of Stockholders (the “Meeting”). As of March 25, 2024, the record date for stockholders entitled to vote at the Meeting, there were 5,107,290 shares of common stock, par value $1.00 per share (the “Shares”) outstanding and entitled to vote. Of the Shares entitled to vote at the Meeting, 4,495,513, or approximately 88.02% of the Shares, were present or represented by proxy. There were two matters presented and voted on. Set forth below is a brief description of each matter voted on and the voting results with respect to each such matter.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1 – Election of three nominees to serve on the Board of Directors for a three-year term and until their respective successors are duly elected.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2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40" w:type="dxa"/>
            <w:vAlign w:val="bottom"/>
          </w:tcPr>
          <w:p>
            <w:pPr>
              <w:spacing w:after="0"/>
              <w:rPr>
                <w:sz w:val="18"/>
                <w:szCs w:val="18"/>
                <w:color w:val="auto"/>
              </w:rPr>
            </w:pPr>
          </w:p>
        </w:tc>
      </w:tr>
      <w:tr>
        <w:trPr>
          <w:trHeight w:val="450"/>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David M. Mandelbaum</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3,881,784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279,630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334,099</w:t>
            </w:r>
          </w:p>
        </w:tc>
        <w:tc>
          <w:tcPr>
            <w:tcW w:w="40" w:type="dxa"/>
            <w:vAlign w:val="bottom"/>
          </w:tcPr>
          <w:p>
            <w:pPr>
              <w:spacing w:after="0"/>
              <w:rPr>
                <w:sz w:val="24"/>
                <w:szCs w:val="24"/>
                <w:color w:val="auto"/>
              </w:rPr>
            </w:pPr>
          </w:p>
        </w:tc>
      </w:tr>
      <w:tr>
        <w:trPr>
          <w:trHeight w:val="216"/>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Arthur I. Sonnenblick</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3,920,194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241,220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334,099</w:t>
            </w:r>
          </w:p>
        </w:tc>
        <w:tc>
          <w:tcPr>
            <w:tcW w:w="40" w:type="dxa"/>
            <w:vAlign w:val="bottom"/>
          </w:tcPr>
          <w:p>
            <w:pPr>
              <w:spacing w:after="0"/>
              <w:rPr>
                <w:sz w:val="18"/>
                <w:szCs w:val="18"/>
                <w:color w:val="auto"/>
              </w:rPr>
            </w:pPr>
          </w:p>
        </w:tc>
      </w:tr>
      <w:tr>
        <w:trPr>
          <w:trHeight w:val="216"/>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Dr. Richard R. West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3,886,290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275,124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334,099</w:t>
            </w:r>
          </w:p>
        </w:tc>
        <w:tc>
          <w:tcPr>
            <w:tcW w:w="40" w:type="dxa"/>
            <w:vAlign w:val="bottom"/>
          </w:tcPr>
          <w:p>
            <w:pPr>
              <w:spacing w:after="0"/>
              <w:rPr>
                <w:sz w:val="18"/>
                <w:szCs w:val="18"/>
                <w:color w:val="auto"/>
              </w:rPr>
            </w:pPr>
          </w:p>
        </w:tc>
      </w:tr>
      <w:tr>
        <w:trPr>
          <w:trHeight w:val="486"/>
        </w:trPr>
        <w:tc>
          <w:tcPr>
            <w:tcW w:w="111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Proposal 2 – Ratification of Deloitte &amp; Touche LLP as the Company’s independent registered public accounting firm for the fiscal year 2024.</w:t>
            </w:r>
          </w:p>
        </w:tc>
        <w:tc>
          <w:tcPr>
            <w:tcW w:w="40" w:type="dxa"/>
            <w:vAlign w:val="bottom"/>
          </w:tcPr>
          <w:p>
            <w:pPr>
              <w:spacing w:after="0"/>
              <w:rPr>
                <w:sz w:val="24"/>
                <w:szCs w:val="24"/>
                <w:color w:val="auto"/>
              </w:rPr>
            </w:pPr>
          </w:p>
        </w:tc>
      </w:tr>
      <w:tr>
        <w:trPr>
          <w:trHeight w:val="246"/>
        </w:trPr>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40" w:type="dxa"/>
            <w:vAlign w:val="bottom"/>
            <w:tcBorders>
              <w:bottom w:val="single" w:sz="8" w:color="auto"/>
            </w:tcBorders>
          </w:tcPr>
          <w:p>
            <w:pPr>
              <w:spacing w:after="0"/>
              <w:rPr>
                <w:sz w:val="21"/>
                <w:szCs w:val="21"/>
                <w:color w:val="auto"/>
              </w:rPr>
            </w:pPr>
          </w:p>
        </w:tc>
      </w:tr>
      <w:tr>
        <w:trPr>
          <w:trHeight w:val="449"/>
        </w:trPr>
        <w:tc>
          <w:tcPr>
            <w:tcW w:w="3860" w:type="dxa"/>
            <w:vAlign w:val="bottom"/>
            <w:gridSpan w:val="2"/>
          </w:tcPr>
          <w:p>
            <w:pPr>
              <w:ind w:left="1520"/>
              <w:spacing w:after="0"/>
              <w:rPr>
                <w:sz w:val="20"/>
                <w:szCs w:val="20"/>
                <w:color w:val="auto"/>
              </w:rPr>
            </w:pPr>
            <w:r>
              <w:rPr>
                <w:rFonts w:ascii="Times New Roman" w:cs="Times New Roman" w:eastAsia="Times New Roman" w:hAnsi="Times New Roman"/>
                <w:sz w:val="16"/>
                <w:szCs w:val="16"/>
                <w:color w:val="auto"/>
              </w:rPr>
              <w:t>Votes Cast</w:t>
            </w:r>
          </w:p>
        </w:tc>
        <w:tc>
          <w:tcPr>
            <w:tcW w:w="230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4,484,641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10,353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519</w:t>
            </w:r>
          </w:p>
        </w:tc>
        <w:tc>
          <w:tcPr>
            <w:tcW w:w="40" w:type="dxa"/>
            <w:vAlign w:val="bottom"/>
          </w:tcPr>
          <w:p>
            <w:pPr>
              <w:spacing w:after="0"/>
              <w:rPr>
                <w:sz w:val="24"/>
                <w:szCs w:val="24"/>
                <w:color w:val="auto"/>
              </w:rPr>
            </w:pPr>
          </w:p>
        </w:tc>
      </w:tr>
    </w:tbl>
    <w:p>
      <w:pPr>
        <w:spacing w:after="0" w:line="16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three nominees who were re-elected to serve on the Company’s Board of Directors, Steven Roth, Thomas R. DiBenedetto, Mandakini Puri, Wendy A. Silverstein, and Russell B. Wright, Jr. continue to serve as Directors after the Meeting.</w:t>
      </w:r>
    </w:p>
    <w:p>
      <w:pPr>
        <w:spacing w:after="0" w:line="3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6"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21590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2" w:lineRule="exact"/>
        <w:rPr>
          <w:sz w:val="20"/>
          <w:szCs w:val="20"/>
          <w:color w:val="auto"/>
        </w:rPr>
      </w:pPr>
    </w:p>
    <w:p>
      <w:pPr>
        <w:ind w:left="1500" w:hanging="1231"/>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ALEXANDER’S,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Hansen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Hansen</w:t>
            </w: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(duly</w:t>
            </w:r>
          </w:p>
        </w:tc>
      </w:tr>
      <w:tr>
        <w:trPr>
          <w:trHeight w:val="175"/>
        </w:trPr>
        <w:tc>
          <w:tcPr>
            <w:tcW w:w="800" w:type="dxa"/>
            <w:vAlign w:val="bottom"/>
          </w:tcPr>
          <w:p>
            <w:pPr>
              <w:spacing w:after="0"/>
              <w:rPr>
                <w:sz w:val="15"/>
                <w:szCs w:val="15"/>
                <w:color w:val="auto"/>
              </w:rPr>
            </w:pP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authorized officer and principal financial and</w:t>
            </w:r>
          </w:p>
        </w:tc>
      </w:tr>
      <w:tr>
        <w:trPr>
          <w:trHeight w:val="234"/>
        </w:trPr>
        <w:tc>
          <w:tcPr>
            <w:tcW w:w="8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2024-05-23T18:18:09Z</dcterms:created>
  <dcterms:modified xsi:type="dcterms:W3CDTF">2024-05-23T18:18:09Z</dcterms:modified>
</cp:coreProperties>
</file>