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8"/>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940" w:type="dxa"/>
            <w:vAlign w:val="bottom"/>
            <w:gridSpan w:val="16"/>
          </w:tcPr>
          <w:p>
            <w:pPr>
              <w:jc w:val="center"/>
              <w:ind w:right="318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gridSpan w:val="9"/>
          </w:tcPr>
          <w:p>
            <w:pPr>
              <w:jc w:val="center"/>
              <w:ind w:right="56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WASHINGTON, DC 20549</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8"/>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(Mark one)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gridSpan w:val="3"/>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7940" w:type="dxa"/>
            <w:vAlign w:val="bottom"/>
            <w:gridSpan w:val="16"/>
          </w:tcPr>
          <w:p>
            <w:pPr>
              <w:jc w:val="center"/>
              <w:ind w:right="3169"/>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 (d)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3280" w:type="dxa"/>
            <w:vAlign w:val="bottom"/>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gridSpan w:val="13"/>
          </w:tcPr>
          <w:p>
            <w:pPr>
              <w:ind w:left="100"/>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color w:val="auto"/>
              </w:rPr>
              <w:t>March 31, 2026</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Borders>
              <w:top w:val="single" w:sz="8" w:color="auto"/>
            </w:tcBorders>
            <w:gridSpan w:val="7"/>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Or</w:t>
            </w: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gridSpan w:val="3"/>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7940" w:type="dxa"/>
            <w:vAlign w:val="bottom"/>
            <w:gridSpan w:val="16"/>
          </w:tcPr>
          <w:p>
            <w:pPr>
              <w:jc w:val="center"/>
              <w:ind w:right="3149"/>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 (d)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3280" w:type="dxa"/>
            <w:vAlign w:val="bottom"/>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w:t>
            </w:r>
          </w:p>
        </w:tc>
        <w:tc>
          <w:tcPr>
            <w:tcW w:w="2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760" w:type="dxa"/>
            <w:vAlign w:val="bottom"/>
          </w:tcPr>
          <w:p>
            <w:pPr>
              <w:spacing w:after="0"/>
              <w:rPr>
                <w:sz w:val="24"/>
                <w:szCs w:val="24"/>
                <w:color w:val="auto"/>
              </w:rPr>
            </w:pPr>
          </w:p>
        </w:tc>
        <w:tc>
          <w:tcPr>
            <w:tcW w:w="112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001-06064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60" w:type="dxa"/>
            <w:vAlign w:val="bottom"/>
            <w:tcBorders>
              <w:top w:val="single" w:sz="8" w:color="auto"/>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ALEXANDERS INC</w:t>
            </w:r>
          </w:p>
        </w:tc>
        <w:tc>
          <w:tcPr>
            <w:tcW w:w="860" w:type="dxa"/>
            <w:vAlign w:val="bottom"/>
            <w:tcBorders>
              <w:top w:val="single" w:sz="8" w:color="auto"/>
            </w:tcBorders>
            <w:gridSpan w:val="3"/>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11"/>
          </w:tcPr>
          <w:p>
            <w:pPr>
              <w:jc w:val="center"/>
              <w:ind w:right="2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tcPr>
          <w:p>
            <w:pPr>
              <w:jc w:val="right"/>
              <w:ind w:right="2229"/>
              <w:spacing w:after="0"/>
              <w:rPr>
                <w:sz w:val="20"/>
                <w:szCs w:val="20"/>
                <w:color w:val="auto"/>
              </w:rPr>
            </w:pPr>
            <w:r>
              <w:rPr>
                <w:rFonts w:ascii="Times New Roman" w:cs="Times New Roman" w:eastAsia="Times New Roman" w:hAnsi="Times New Roman"/>
                <w:sz w:val="14"/>
                <w:szCs w:val="14"/>
                <w:b w:val="1"/>
                <w:bCs w:val="1"/>
                <w:color w:val="auto"/>
              </w:rPr>
              <w:t>51-0100517</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9"/>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20" w:type="dxa"/>
            <w:vAlign w:val="bottom"/>
            <w:gridSpan w:val="2"/>
          </w:tcPr>
          <w:p>
            <w:pPr>
              <w:spacing w:after="0"/>
              <w:rPr>
                <w:sz w:val="15"/>
                <w:szCs w:val="15"/>
                <w:color w:val="auto"/>
              </w:rPr>
            </w:pPr>
          </w:p>
        </w:tc>
        <w:tc>
          <w:tcPr>
            <w:tcW w:w="3900" w:type="dxa"/>
            <w:vAlign w:val="bottom"/>
            <w:gridSpan w:val="3"/>
          </w:tcPr>
          <w:p>
            <w:pPr>
              <w:jc w:val="center"/>
              <w:ind w:right="1309"/>
              <w:spacing w:after="0"/>
              <w:rPr>
                <w:sz w:val="20"/>
                <w:szCs w:val="20"/>
                <w:color w:val="auto"/>
              </w:rPr>
            </w:pPr>
            <w:r>
              <w:rPr>
                <w:rFonts w:ascii="Times New Roman" w:cs="Times New Roman" w:eastAsia="Times New Roman" w:hAnsi="Times New Roman"/>
                <w:sz w:val="14"/>
                <w:szCs w:val="14"/>
                <w:color w:val="auto"/>
              </w:rPr>
              <w:t>(I.R.S. Employer Identification Number)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210 Route 4 East, Paramus,</w:t>
            </w: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w w:val="96"/>
              </w:rPr>
              <w:t>New Jersey</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07652</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gridSpan w:val="3"/>
          </w:tcPr>
          <w:p>
            <w:pPr>
              <w:jc w:val="center"/>
              <w:ind w:left="14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tcPr>
          <w:p>
            <w:pPr>
              <w:jc w:val="center"/>
              <w:ind w:right="2229"/>
              <w:spacing w:after="0"/>
              <w:rPr>
                <w:sz w:val="20"/>
                <w:szCs w:val="20"/>
                <w:color w:val="auto"/>
              </w:rPr>
            </w:pPr>
            <w:r>
              <w:rPr>
                <w:rFonts w:ascii="Times New Roman" w:cs="Times New Roman" w:eastAsia="Times New Roman" w:hAnsi="Times New Roman"/>
                <w:sz w:val="14"/>
                <w:szCs w:val="14"/>
                <w:color w:val="auto"/>
              </w:rPr>
              <w:t>(Zip Code)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1260"/>
              <w:spacing w:after="0"/>
              <w:rPr>
                <w:sz w:val="20"/>
                <w:szCs w:val="20"/>
                <w:color w:val="auto"/>
              </w:rPr>
            </w:pPr>
            <w:r>
              <w:rPr>
                <w:rFonts w:ascii="Times New Roman" w:cs="Times New Roman" w:eastAsia="Times New Roman" w:hAnsi="Times New Roman"/>
                <w:sz w:val="14"/>
                <w:szCs w:val="14"/>
                <w:b w:val="1"/>
                <w:bCs w:val="1"/>
                <w:color w:val="auto"/>
              </w:rPr>
              <w:t>(201) 587-8541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80" w:type="dxa"/>
            <w:vAlign w:val="bottom"/>
            <w:gridSpan w:val="12"/>
          </w:tcPr>
          <w:p>
            <w:pPr>
              <w:jc w:val="center"/>
              <w:ind w:right="1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940" w:type="dxa"/>
            <w:vAlign w:val="bottom"/>
            <w:gridSpan w:val="16"/>
          </w:tcPr>
          <w:p>
            <w:pPr>
              <w:jc w:val="center"/>
              <w:ind w:right="318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3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60" w:type="dxa"/>
            <w:vAlign w:val="bottom"/>
            <w:gridSpan w:val="2"/>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gridSpan w:val="2"/>
          </w:tcPr>
          <w:p>
            <w:pPr>
              <w:jc w:val="center"/>
              <w:ind w:left="949"/>
              <w:spacing w:after="0"/>
              <w:rPr>
                <w:sz w:val="20"/>
                <w:szCs w:val="20"/>
                <w:color w:val="auto"/>
              </w:rPr>
            </w:pPr>
            <w:r>
              <w:rPr>
                <w:rFonts w:ascii="Times New Roman" w:cs="Times New Roman" w:eastAsia="Times New Roman" w:hAnsi="Times New Roman"/>
                <w:sz w:val="14"/>
                <w:szCs w:val="14"/>
                <w:color w:val="auto"/>
              </w:rPr>
              <w:t>Common Stock, $1 par value per share</w:t>
            </w: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ALX</w:t>
            </w:r>
          </w:p>
        </w:tc>
        <w:tc>
          <w:tcPr>
            <w:tcW w:w="160" w:type="dxa"/>
            <w:vAlign w:val="bottom"/>
            <w:gridSpan w:val="2"/>
          </w:tcPr>
          <w:p>
            <w:pPr>
              <w:spacing w:after="0"/>
              <w:rPr>
                <w:sz w:val="15"/>
                <w:szCs w:val="15"/>
                <w:color w:val="auto"/>
              </w:rPr>
            </w:pPr>
          </w:p>
        </w:tc>
        <w:tc>
          <w:tcPr>
            <w:tcW w:w="720" w:type="dxa"/>
            <w:vAlign w:val="bottom"/>
            <w:tcBorders>
              <w:top w:val="single" w:sz="8" w:color="auto"/>
            </w:tcBorders>
            <w:gridSpan w:val="2"/>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New York Stock Exchange</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213995</wp:posOffset>
            </wp:positionH>
            <wp:positionV relativeFrom="page">
              <wp:posOffset>378460</wp:posOffset>
            </wp:positionV>
            <wp:extent cx="71278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324485</wp:posOffset>
            </wp:positionV>
            <wp:extent cx="712787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20320"/>
                    </a:xfrm>
                    <a:prstGeom prst="rect">
                      <a:avLst/>
                    </a:prstGeom>
                    <a:noFill/>
                  </pic:spPr>
                </pic:pic>
              </a:graphicData>
            </a:graphic>
          </wp:anchor>
        </w:drawing>
      </w:r>
    </w:p>
    <w:p>
      <w:pPr>
        <w:jc w:val="cente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49" w:lineRule="exact"/>
        <w:rPr>
          <w:sz w:val="24"/>
          <w:szCs w:val="24"/>
          <w:color w:val="auto"/>
        </w:rPr>
      </w:pPr>
    </w:p>
    <w:p>
      <w:pPr>
        <w:jc w:val="cente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1" w:name="page2"/>
    <w:bookmarkEnd w:id="1"/>
    <w:p>
      <w:pPr>
        <w:jc w:val="center"/>
        <w:ind w:left="3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Large Accelerated Filer</w:t>
            </w:r>
          </w:p>
        </w:tc>
        <w:tc>
          <w:tcPr>
            <w:tcW w:w="2680" w:type="dxa"/>
            <w:vAlign w:val="bottom"/>
          </w:tcPr>
          <w:p>
            <w:pPr>
              <w:ind w:left="2420"/>
              <w:spacing w:after="0" w:line="141" w:lineRule="exact"/>
              <w:rPr>
                <w:sz w:val="20"/>
                <w:szCs w:val="20"/>
                <w:color w:val="auto"/>
              </w:rPr>
            </w:pPr>
            <w:r>
              <w:rPr>
                <w:rFonts w:ascii="MS PGothic" w:cs="MS PGothic" w:eastAsia="MS PGothic" w:hAnsi="MS PGothic"/>
                <w:sz w:val="14"/>
                <w:szCs w:val="14"/>
                <w:color w:val="auto"/>
              </w:rPr>
              <w:t>☑</w:t>
            </w:r>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80"/>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Non-Accelerated Filer</w:t>
            </w:r>
          </w:p>
        </w:tc>
        <w:tc>
          <w:tcPr>
            <w:tcW w:w="2680" w:type="dxa"/>
            <w:vAlign w:val="bottom"/>
          </w:tcPr>
          <w:p>
            <w:pPr>
              <w:ind w:left="2420"/>
              <w:spacing w:after="0" w:line="141" w:lineRule="exact"/>
              <w:rPr>
                <w:sz w:val="20"/>
                <w:szCs w:val="20"/>
                <w:color w:val="auto"/>
              </w:rPr>
            </w:pPr>
            <w:r>
              <w:rPr>
                <w:rFonts w:ascii="MS PGothic" w:cs="MS PGothic" w:eastAsia="MS PGothic" w:hAnsi="MS PGothic"/>
                <w:sz w:val="14"/>
                <w:szCs w:val="14"/>
                <w:color w:val="auto"/>
              </w:rPr>
              <w:t>☐</w:t>
            </w:r>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Smaller Reporting Company</w:t>
            </w:r>
          </w:p>
        </w:tc>
      </w:tr>
      <w:tr>
        <w:trPr>
          <w:trHeight w:val="237"/>
        </w:trPr>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80" w:type="dxa"/>
            <w:vAlign w:val="bottom"/>
          </w:tcPr>
          <w:p>
            <w:pPr>
              <w:ind w:left="2420"/>
              <w:spacing w:after="0" w:line="141" w:lineRule="exact"/>
              <w:rPr>
                <w:sz w:val="20"/>
                <w:szCs w:val="20"/>
                <w:color w:val="auto"/>
              </w:rPr>
            </w:pPr>
            <w:r>
              <w:rPr>
                <w:rFonts w:ascii="MS PGothic" w:cs="MS PGothic" w:eastAsia="MS PGothic" w:hAnsi="MS PGothic"/>
                <w:sz w:val="14"/>
                <w:szCs w:val="14"/>
                <w:color w:val="auto"/>
              </w:rPr>
              <w:t>☐</w:t>
            </w:r>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provided pursuant to Section 13(a) of the</w:t>
      </w:r>
    </w:p>
    <w:p>
      <w:pPr>
        <w:spacing w:after="0" w:line="5" w:lineRule="exact"/>
        <w:rPr>
          <w:sz w:val="20"/>
          <w:szCs w:val="20"/>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Exchange Act. </w:t>
      </w:r>
      <w:r>
        <w:rPr>
          <w:rFonts w:ascii="MS PGothic" w:cs="MS PGothic" w:eastAsia="MS PGothic" w:hAnsi="MS PGothic"/>
          <w:sz w:val="14"/>
          <w:szCs w:val="14"/>
          <w:color w:val="auto"/>
        </w:rPr>
        <w:t>☐</w:t>
      </w:r>
    </w:p>
    <w:p>
      <w:pPr>
        <w:spacing w:after="0" w:line="52" w:lineRule="exact"/>
        <w:rPr>
          <w:sz w:val="20"/>
          <w:szCs w:val="20"/>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March 31, 2026, there were 5,107,290 shares of common stock, par value $1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932180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223520</wp:posOffset>
            </wp:positionV>
            <wp:extent cx="716153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203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183515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5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02"/>
        </w:trPr>
        <w:tc>
          <w:tcPr>
            <w:tcW w:w="14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141"/>
        </w:trPr>
        <w:tc>
          <w:tcPr>
            <w:tcW w:w="1440" w:type="dxa"/>
            <w:vAlign w:val="bottom"/>
            <w:shd w:val="clear" w:color="auto" w:fill="CCEEFF"/>
          </w:tcPr>
          <w:p>
            <w:pPr>
              <w:jc w:val="right"/>
              <w:ind w:right="869"/>
              <w:spacing w:after="0" w:line="129" w:lineRule="exact"/>
              <w:rPr>
                <w:sz w:val="20"/>
                <w:szCs w:val="20"/>
                <w:color w:val="auto"/>
              </w:rPr>
            </w:pPr>
            <w:r>
              <w:rPr>
                <w:rFonts w:ascii="Times New Roman" w:cs="Times New Roman" w:eastAsia="Times New Roman" w:hAnsi="Times New Roman"/>
                <w:sz w:val="14"/>
                <w:szCs w:val="14"/>
                <w:b w:val="1"/>
                <w:bCs w:val="1"/>
                <w:color w:val="auto"/>
                <w:w w:val="94"/>
              </w:rPr>
              <w:t>PART I.</w:t>
            </w:r>
          </w:p>
        </w:tc>
        <w:tc>
          <w:tcPr>
            <w:tcW w:w="33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Information:</w:t>
            </w:r>
          </w:p>
        </w:tc>
        <w:tc>
          <w:tcPr>
            <w:tcW w:w="44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r>
      <w:tr>
        <w:trPr>
          <w:trHeight w:val="170"/>
        </w:trPr>
        <w:tc>
          <w:tcPr>
            <w:tcW w:w="1440" w:type="dxa"/>
            <w:vAlign w:val="bottom"/>
            <w:tcBorders>
              <w:top w:val="single" w:sz="8" w:color="CCEEFF"/>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940" w:type="dxa"/>
            <w:vAlign w:val="bottom"/>
            <w:tcBorders>
              <w:top w:val="single" w:sz="8" w:color="CCEEFF"/>
            </w:tcBorders>
          </w:tcPr>
          <w:p>
            <w:pPr>
              <w:spacing w:after="0"/>
              <w:rPr>
                <w:sz w:val="14"/>
                <w:szCs w:val="14"/>
                <w:color w:val="auto"/>
              </w:rPr>
            </w:pPr>
          </w:p>
        </w:tc>
        <w:tc>
          <w:tcPr>
            <w:tcW w:w="446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r>
      <w:tr>
        <w:trPr>
          <w:trHeight w:val="180"/>
        </w:trPr>
        <w:tc>
          <w:tcPr>
            <w:tcW w:w="14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Item 1.</w:t>
            </w: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Statements:</w:t>
            </w:r>
          </w:p>
        </w:tc>
        <w:tc>
          <w:tcPr>
            <w:tcW w:w="44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70"/>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38"/>
        </w:trPr>
        <w:tc>
          <w:tcPr>
            <w:tcW w:w="1440" w:type="dxa"/>
            <w:vAlign w:val="bottom"/>
            <w:shd w:val="clear" w:color="auto" w:fill="CCEEFF"/>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Consolidated Balance Sheets (Unaudited) as of</w:t>
            </w:r>
          </w:p>
        </w:tc>
        <w:tc>
          <w:tcPr>
            <w:tcW w:w="44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r>
      <w:tr>
        <w:trPr>
          <w:trHeight w:val="191"/>
        </w:trPr>
        <w:tc>
          <w:tcPr>
            <w:tcW w:w="144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March 31, 2026 and December 31, 2025</w:t>
            </w:r>
          </w:p>
        </w:tc>
        <w:tc>
          <w:tcPr>
            <w:tcW w:w="650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4</w:t>
            </w:r>
          </w:p>
        </w:tc>
      </w:tr>
    </w:tbl>
    <w:p>
      <w:pPr>
        <w:spacing w:after="0" w:line="159" w:lineRule="exact"/>
        <w:rPr>
          <w:sz w:val="20"/>
          <w:szCs w:val="20"/>
          <w:color w:val="auto"/>
        </w:rPr>
      </w:pPr>
    </w:p>
    <w:p>
      <w:pPr>
        <w:sectPr>
          <w:pgSz w:w="11900" w:h="16838" w:orient="portrait"/>
          <w:cols w:equalWidth="0" w:num="1">
            <w:col w:w="11280"/>
          </w:cols>
          <w:pgMar w:left="300" w:top="919" w:right="319" w:bottom="1440" w:gutter="0" w:footer="0" w:header="0"/>
        </w:sectPr>
      </w:pPr>
    </w:p>
    <w:p>
      <w:pPr>
        <w:ind w:left="1460"/>
        <w:spacing w:after="0"/>
        <w:rPr>
          <w:sz w:val="20"/>
          <w:szCs w:val="20"/>
          <w:color w:val="auto"/>
        </w:rPr>
      </w:pPr>
      <w:r>
        <w:rPr>
          <w:rFonts w:ascii="Times New Roman" w:cs="Times New Roman" w:eastAsia="Times New Roman" w:hAnsi="Times New Roman"/>
          <w:sz w:val="14"/>
          <w:szCs w:val="14"/>
          <w:color w:val="auto"/>
        </w:rPr>
        <w:t>Consolidated Statements of Income (Unaudited)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7148195" cy="208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1560"/>
        <w:spacing w:after="0"/>
        <w:rPr>
          <w:sz w:val="20"/>
          <w:szCs w:val="20"/>
          <w:color w:val="auto"/>
        </w:rPr>
      </w:pPr>
      <w:r>
        <w:rPr>
          <w:rFonts w:ascii="Times New Roman" w:cs="Times New Roman" w:eastAsia="Times New Roman" w:hAnsi="Times New Roman"/>
          <w:sz w:val="14"/>
          <w:szCs w:val="14"/>
          <w:color w:val="auto"/>
        </w:rPr>
        <w:t>Three Months Ended March 31, 2026 and 2025</w:t>
      </w:r>
    </w:p>
    <w:p>
      <w:pPr>
        <w:spacing w:after="0" w:line="17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Consolidated Statements of Comprehensive Income (Unaudited)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7148195" cy="208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1560"/>
        <w:spacing w:after="0"/>
        <w:rPr>
          <w:sz w:val="20"/>
          <w:szCs w:val="20"/>
          <w:color w:val="auto"/>
        </w:rPr>
      </w:pPr>
      <w:r>
        <w:rPr>
          <w:rFonts w:ascii="Times New Roman" w:cs="Times New Roman" w:eastAsia="Times New Roman" w:hAnsi="Times New Roman"/>
          <w:sz w:val="14"/>
          <w:szCs w:val="14"/>
          <w:color w:val="auto"/>
        </w:rPr>
        <w:t>Three Months Ended March 31, 2026 and 2025</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w:t>
      </w:r>
    </w:p>
    <w:p>
      <w:pPr>
        <w:spacing w:after="0" w:line="170" w:lineRule="exact"/>
        <w:rPr>
          <w:sz w:val="20"/>
          <w:szCs w:val="20"/>
          <w:color w:val="auto"/>
        </w:rPr>
      </w:pPr>
    </w:p>
    <w:p>
      <w:pPr>
        <w:sectPr>
          <w:pgSz w:w="11900" w:h="16838" w:orient="portrait"/>
          <w:cols w:equalWidth="0" w:num="2">
            <w:col w:w="9500" w:space="720"/>
            <w:col w:w="1060"/>
          </w:cols>
          <w:pgMar w:left="300" w:top="919"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Statements of Changes in Equity (Unaudited) for the</w:t>
            </w:r>
          </w:p>
        </w:tc>
        <w:tc>
          <w:tcPr>
            <w:tcW w:w="2920" w:type="dxa"/>
            <w:vAlign w:val="bottom"/>
            <w:shd w:val="clear" w:color="auto" w:fill="CCEEFF"/>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Three Months Ended March 31, 2026 and 2025</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7</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9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Consolidated Statements of Cash Flows (Unaudited) for the</w:t>
            </w:r>
          </w:p>
        </w:tc>
        <w:tc>
          <w:tcPr>
            <w:tcW w:w="2920" w:type="dxa"/>
            <w:vAlign w:val="bottom"/>
            <w:shd w:val="clear" w:color="auto" w:fill="CCEEFF"/>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Three Months Ended March 31, 2026 and 2025</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8</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to Consolidated Financial Statements (Unaudited)</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9</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17</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23</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Controls and Procedures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23</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PART II.</w:t>
            </w:r>
          </w:p>
        </w:tc>
        <w:tc>
          <w:tcPr>
            <w:tcW w:w="6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292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5720" w:type="dxa"/>
            <w:vAlign w:val="bottom"/>
            <w:tcBorders>
              <w:top w:val="single" w:sz="8" w:color="CCEEFF"/>
            </w:tcBorders>
          </w:tcPr>
          <w:p>
            <w:pPr>
              <w:spacing w:after="0"/>
              <w:rPr>
                <w:sz w:val="14"/>
                <w:szCs w:val="14"/>
                <w:color w:val="auto"/>
              </w:rPr>
            </w:pPr>
          </w:p>
        </w:tc>
        <w:tc>
          <w:tcPr>
            <w:tcW w:w="2920" w:type="dxa"/>
            <w:vAlign w:val="bottom"/>
            <w:tcBorders>
              <w:top w:val="single" w:sz="8" w:color="CCEEFF"/>
            </w:tcBorders>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Proceedings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1A.</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 Safety Disclosures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5.</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Information</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6.</w:t>
            </w: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Exhibits</w:t>
            </w: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Exhibit Index</w:t>
            </w:r>
          </w:p>
        </w:tc>
        <w:tc>
          <w:tcPr>
            <w:tcW w:w="1180" w:type="dxa"/>
            <w:vAlign w:val="bottom"/>
            <w:shd w:val="clear" w:color="auto" w:fill="CCEEFF"/>
          </w:tcPr>
          <w:p>
            <w:pPr>
              <w:spacing w:after="0"/>
              <w:rPr>
                <w:sz w:val="15"/>
                <w:szCs w:val="15"/>
                <w:color w:val="auto"/>
              </w:rPr>
            </w:pPr>
          </w:p>
        </w:tc>
        <w:tc>
          <w:tcPr>
            <w:tcW w:w="5720" w:type="dxa"/>
            <w:vAlign w:val="bottom"/>
            <w:shd w:val="clear" w:color="auto" w:fill="CCEEFF"/>
          </w:tcPr>
          <w:p>
            <w:pPr>
              <w:spacing w:after="0"/>
              <w:rPr>
                <w:sz w:val="15"/>
                <w:szCs w:val="15"/>
                <w:color w:val="auto"/>
              </w:rPr>
            </w:pP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25</w:t>
            </w:r>
          </w:p>
        </w:tc>
      </w:tr>
      <w:tr>
        <w:trPr>
          <w:trHeight w:val="170"/>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Signatures</w:t>
            </w:r>
          </w:p>
        </w:tc>
        <w:tc>
          <w:tcPr>
            <w:tcW w:w="1180" w:type="dxa"/>
            <w:vAlign w:val="bottom"/>
            <w:shd w:val="clear" w:color="auto" w:fill="CCEEFF"/>
          </w:tcPr>
          <w:p>
            <w:pPr>
              <w:spacing w:after="0"/>
              <w:rPr>
                <w:sz w:val="15"/>
                <w:szCs w:val="15"/>
                <w:color w:val="auto"/>
              </w:rPr>
            </w:pPr>
          </w:p>
        </w:tc>
        <w:tc>
          <w:tcPr>
            <w:tcW w:w="5720" w:type="dxa"/>
            <w:vAlign w:val="bottom"/>
            <w:shd w:val="clear" w:color="auto" w:fill="CCEEFF"/>
          </w:tcPr>
          <w:p>
            <w:pPr>
              <w:spacing w:after="0"/>
              <w:rPr>
                <w:sz w:val="15"/>
                <w:szCs w:val="15"/>
                <w:color w:val="auto"/>
              </w:rPr>
            </w:pPr>
          </w:p>
        </w:tc>
        <w:tc>
          <w:tcPr>
            <w:tcW w:w="2920" w:type="dxa"/>
            <w:vAlign w:val="bottom"/>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26</w:t>
            </w:r>
          </w:p>
        </w:tc>
      </w:tr>
      <w:tr>
        <w:trPr>
          <w:trHeight w:val="67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00" w:type="dxa"/>
            <w:vAlign w:val="bottom"/>
            <w:gridSpan w:val="2"/>
          </w:tcPr>
          <w:p>
            <w:pPr>
              <w:ind w:left="4140"/>
              <w:spacing w:after="0"/>
              <w:rPr>
                <w:sz w:val="20"/>
                <w:szCs w:val="20"/>
                <w:color w:val="auto"/>
              </w:rPr>
            </w:pPr>
            <w:r>
              <w:rPr>
                <w:rFonts w:ascii="Times New Roman" w:cs="Times New Roman" w:eastAsia="Times New Roman" w:hAnsi="Times New Roman"/>
                <w:sz w:val="14"/>
                <w:szCs w:val="14"/>
                <w:color w:val="auto"/>
              </w:rPr>
              <w:t>3</w:t>
            </w:r>
          </w:p>
        </w:tc>
        <w:tc>
          <w:tcPr>
            <w:tcW w:w="29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72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share and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1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4"/>
                <w:szCs w:val="14"/>
                <w:color w:val="auto"/>
              </w:rPr>
            </w:pPr>
          </w:p>
        </w:tc>
        <w:tc>
          <w:tcPr>
            <w:tcW w:w="18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3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Land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 and construction in progress</w:t>
            </w:r>
          </w:p>
        </w:tc>
        <w:tc>
          <w:tcPr>
            <w:tcW w:w="320" w:type="dxa"/>
            <w:vAlign w:val="bottom"/>
          </w:tcPr>
          <w:p>
            <w:pPr>
              <w:spacing w:after="0"/>
              <w:rPr>
                <w:sz w:val="15"/>
                <w:szCs w:val="15"/>
                <w:color w:val="auto"/>
              </w:rPr>
            </w:pP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top w:val="single" w:sz="8" w:color="CCEEFF"/>
            </w:tcBorders>
            <w:shd w:val="clear" w:color="auto" w:fill="CCEEFF"/>
          </w:tcPr>
          <w:p>
            <w:pPr>
              <w:spacing w:after="0"/>
              <w:rPr>
                <w:sz w:val="14"/>
                <w:szCs w:val="14"/>
                <w:color w:val="auto"/>
              </w:rPr>
            </w:pPr>
          </w:p>
        </w:tc>
        <w:tc>
          <w:tcPr>
            <w:tcW w:w="7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1,002,951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1,103,771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2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Deferred leasing costs, net, including unamortized leasing fees to Vornado</w:t>
            </w: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$20,069 and $20,649, respectively</w:t>
            </w:r>
          </w:p>
        </w:tc>
        <w:tc>
          <w:tcPr>
            <w:tcW w:w="3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held for sale</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56,291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6"/>
                <w:szCs w:val="16"/>
                <w:color w:val="auto"/>
              </w:rPr>
            </w:pPr>
          </w:p>
        </w:tc>
        <w:tc>
          <w:tcPr>
            <w:tcW w:w="7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1,096,292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bottom w:val="single" w:sz="8" w:color="CCEEFF"/>
            </w:tcBorders>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 of deferred debt issuance costs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829,451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due to Vornado</w:t>
            </w:r>
          </w:p>
        </w:tc>
        <w:tc>
          <w:tcPr>
            <w:tcW w:w="320" w:type="dxa"/>
            <w:vAlign w:val="bottom"/>
          </w:tcPr>
          <w:p>
            <w:pPr>
              <w:spacing w:after="0"/>
              <w:rPr>
                <w:sz w:val="15"/>
                <w:szCs w:val="15"/>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incentive liability</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21,811</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1,005,568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1,001,552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1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 $1.00 par value per share; authorized, 3,000,000 shares;</w:t>
            </w:r>
          </w:p>
        </w:tc>
        <w:tc>
          <w:tcPr>
            <w:tcW w:w="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issued and outstanding, none</w:t>
            </w:r>
          </w:p>
        </w:tc>
        <w:tc>
          <w:tcPr>
            <w:tcW w:w="32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1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$1.00 par value per share; authorized, 10,000,000 shares;</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issued, 5,173,450 shares; outstanding, 5,107,290 shares</w:t>
            </w:r>
          </w:p>
        </w:tc>
        <w:tc>
          <w:tcPr>
            <w:tcW w:w="320" w:type="dxa"/>
            <w:vAlign w:val="bottom"/>
          </w:tcPr>
          <w:p>
            <w:pPr>
              <w:spacing w:after="0"/>
              <w:rPr>
                <w:sz w:val="16"/>
                <w:szCs w:val="16"/>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5,173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capital</w:t>
            </w:r>
          </w:p>
        </w:tc>
        <w:tc>
          <w:tcPr>
            <w:tcW w:w="3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35,159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5"/>
                <w:szCs w:val="15"/>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50,751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66,160 shares, at cost</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109,156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7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1,096,292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1,110,708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 (unaudited).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share and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1"/>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8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Rental revenues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54,915</w:t>
            </w: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including fees to Vornado of $1,411 and $1,592, respectively</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(25,564)</w:t>
            </w:r>
          </w:p>
        </w:tc>
        <w:tc>
          <w:tcPr>
            <w:tcW w:w="0" w:type="dxa"/>
            <w:vAlign w:val="bottom"/>
          </w:tcPr>
          <w:p>
            <w:pPr>
              <w:spacing w:after="0"/>
              <w:rPr>
                <w:sz w:val="1"/>
                <w:szCs w:val="1"/>
                <w:color w:val="auto"/>
              </w:rPr>
            </w:pPr>
          </w:p>
        </w:tc>
      </w:tr>
      <w:tr>
        <w:trPr>
          <w:trHeight w:val="180"/>
        </w:trPr>
        <w:tc>
          <w:tcPr>
            <w:tcW w:w="8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(8,599)</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 including management fees to Vornado of $610 in each period</w:t>
            </w: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17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(39,467)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 - basic and diluted</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5,135,956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5,133,534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3980"/>
              <w:spacing w:after="0"/>
              <w:rPr>
                <w:sz w:val="20"/>
                <w:szCs w:val="20"/>
                <w:color w:val="auto"/>
              </w:rPr>
            </w:pPr>
            <w:r>
              <w:rPr>
                <w:rFonts w:ascii="Times New Roman" w:cs="Times New Roman" w:eastAsia="Times New Roman" w:hAnsi="Times New Roman"/>
                <w:sz w:val="14"/>
                <w:szCs w:val="14"/>
                <w:color w:val="auto"/>
              </w:rPr>
              <w:t>See notes to consolidated financial statements (unaudited).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8360" w:type="dxa"/>
            <w:vAlign w:val="bottom"/>
          </w:tcPr>
          <w:p>
            <w:pPr>
              <w:ind w:left="56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23" w:lineRule="exact"/>
        <w:rPr>
          <w:sz w:val="20"/>
          <w:szCs w:val="20"/>
          <w:color w:val="auto"/>
        </w:rPr>
      </w:pPr>
    </w:p>
    <w:p>
      <w:pPr>
        <w:ind w:firstLine="95"/>
        <w:spacing w:after="0" w:line="297" w:lineRule="auto"/>
        <w:rPr>
          <w:sz w:val="20"/>
          <w:szCs w:val="20"/>
          <w:color w:val="auto"/>
        </w:rPr>
      </w:pPr>
      <w:r>
        <w:rPr>
          <w:rFonts w:ascii="Times New Roman" w:cs="Times New Roman" w:eastAsia="Times New Roman" w:hAnsi="Times New Roman"/>
          <w:sz w:val="14"/>
          <w:szCs w:val="14"/>
          <w:color w:val="auto"/>
        </w:rPr>
        <w:t>Change in fair value of interest rate derivatives Comprehensive income</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152"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5" w:lineRule="exact"/>
        <w:rPr>
          <w:sz w:val="20"/>
          <w:szCs w:val="20"/>
          <w:color w:val="auto"/>
        </w:rPr>
      </w:pPr>
    </w:p>
    <w:tbl>
      <w:tblPr>
        <w:tblLayout w:type="fixed"/>
        <w:tblInd w:w="4820" w:type="dxa"/>
        <w:tblCellMar>
          <w:top w:w="0" w:type="dxa"/>
          <w:left w:w="0" w:type="dxa"/>
          <w:bottom w:w="0" w:type="dxa"/>
          <w:right w:w="0" w:type="dxa"/>
        </w:tblCellMar>
      </w:tblPr>
      <w:tr>
        <w:trPr>
          <w:trHeight w:val="171"/>
        </w:trPr>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5"/>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w:t>
            </w:r>
          </w:p>
        </w:tc>
      </w:tr>
      <w:tr>
        <w:trPr>
          <w:trHeight w:val="357"/>
        </w:trPr>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w:t>
            </w:r>
          </w:p>
        </w:tc>
      </w:tr>
      <w:tr>
        <w:trPr>
          <w:trHeight w:val="171"/>
        </w:trPr>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-497840</wp:posOffset>
            </wp:positionV>
            <wp:extent cx="7161530"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-262255</wp:posOffset>
            </wp:positionV>
            <wp:extent cx="716153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760" w:space="720"/>
            <w:col w:w="7780"/>
          </w:cols>
          <w:pgMar w:left="320" w:top="844"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2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0"/>
                <w:szCs w:val="10"/>
                <w:color w:val="auto"/>
              </w:rPr>
            </w:pPr>
          </w:p>
        </w:tc>
        <w:tc>
          <w:tcPr>
            <w:tcW w:w="88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0"/>
                <w:szCs w:val="10"/>
                <w:color w:val="auto"/>
              </w:rPr>
            </w:pPr>
          </w:p>
        </w:tc>
        <w:tc>
          <w:tcPr>
            <w:tcW w:w="14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160" w:type="dxa"/>
            <w:vAlign w:val="bottom"/>
          </w:tcPr>
          <w:p>
            <w:pPr>
              <w:spacing w:after="0"/>
              <w:rPr>
                <w:sz w:val="10"/>
                <w:szCs w:val="10"/>
                <w:color w:val="auto"/>
              </w:rPr>
            </w:pPr>
          </w:p>
        </w:tc>
        <w:tc>
          <w:tcPr>
            <w:tcW w:w="84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99"/>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2026</w:t>
            </w: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($4.50 per common share)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derivative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2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($4.50 per common share)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derivatives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 (unaudited).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84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ectPr>
          <w:pgSz w:w="11900" w:h="16838" w:orient="portrait"/>
          <w:cols w:equalWidth="0" w:num="1">
            <w:col w:w="11240"/>
          </w:cols>
          <w:pgMar w:left="320" w:top="844"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debt issuance costs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Amortization of deferred lease incentives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Straight-lining of rents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Interest rate cap premium amortization</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PIK interest expense</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non-cash adjustments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Tenant and other receivables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assets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Amounts due to Vornado</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3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5" w:lineRule="exact"/>
        <w:rPr>
          <w:sz w:val="20"/>
          <w:szCs w:val="20"/>
          <w:color w:val="auto"/>
        </w:rPr>
      </w:pPr>
    </w:p>
    <w:tbl>
      <w:tblPr>
        <w:tblLayout w:type="fixed"/>
        <w:tblInd w:w="3340" w:type="dxa"/>
        <w:tblCellMar>
          <w:top w:w="0" w:type="dxa"/>
          <w:left w:w="0" w:type="dxa"/>
          <w:bottom w:w="0" w:type="dxa"/>
          <w:right w:w="0" w:type="dxa"/>
        </w:tblCellMar>
      </w:tblPr>
      <w:tr>
        <w:trPr>
          <w:trHeight w:val="171"/>
        </w:trPr>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5"/>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w:t>
            </w:r>
          </w:p>
        </w:tc>
      </w:tr>
      <w:tr>
        <w:trPr>
          <w:trHeight w:val="353"/>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9,389</w:t>
            </w:r>
          </w:p>
        </w:tc>
      </w:tr>
      <w:tr>
        <w:trPr>
          <w:trHeight w:val="180"/>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180"/>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r>
      <w:tr>
        <w:trPr>
          <w:trHeight w:val="180"/>
        </w:trPr>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357"/>
        </w:trPr>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80"/>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(15,171)</w:t>
            </w:r>
          </w:p>
        </w:tc>
      </w:tr>
      <w:tr>
        <w:trPr>
          <w:trHeight w:val="180"/>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0"/>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w:t>
            </w:r>
          </w:p>
        </w:tc>
      </w:tr>
      <w:tr>
        <w:trPr>
          <w:trHeight w:val="184"/>
        </w:trPr>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-1737360</wp:posOffset>
            </wp:positionV>
            <wp:extent cx="7134860"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2128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-1501775</wp:posOffset>
            </wp:positionV>
            <wp:extent cx="713486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-1272540</wp:posOffset>
            </wp:positionV>
            <wp:extent cx="713486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-1043940</wp:posOffset>
            </wp:positionV>
            <wp:extent cx="713486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-814705</wp:posOffset>
            </wp:positionV>
            <wp:extent cx="713486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-585470</wp:posOffset>
            </wp:positionV>
            <wp:extent cx="713486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-356235</wp:posOffset>
            </wp:positionV>
            <wp:extent cx="713486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-127635</wp:posOffset>
            </wp:positionV>
            <wp:extent cx="7134860"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600" w:space="340"/>
            <w:col w:w="6300"/>
          </w:cols>
          <w:pgMar w:left="320" w:top="844"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Construction in progress and real estate additions</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Payments related to property held for sale</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(23,878)</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0" w:type="dxa"/>
            <w:vAlign w:val="bottom"/>
          </w:tcPr>
          <w:p>
            <w:pPr>
              <w:spacing w:after="0"/>
              <w:rPr>
                <w:sz w:val="1"/>
                <w:szCs w:val="1"/>
                <w:color w:val="auto"/>
              </w:rPr>
            </w:pPr>
          </w:p>
        </w:tc>
      </w:tr>
      <w:tr>
        <w:trPr>
          <w:trHeight w:val="196"/>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repayments</w:t>
            </w: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(23,101)</w:t>
            </w:r>
          </w:p>
        </w:tc>
        <w:tc>
          <w:tcPr>
            <w:tcW w:w="0" w:type="dxa"/>
            <w:vAlign w:val="bottom"/>
          </w:tcPr>
          <w:p>
            <w:pPr>
              <w:spacing w:after="0"/>
              <w:rPr>
                <w:sz w:val="1"/>
                <w:szCs w:val="1"/>
                <w:color w:val="auto"/>
              </w:rPr>
            </w:pPr>
          </w:p>
        </w:tc>
      </w:tr>
      <w:tr>
        <w:trPr>
          <w:trHeight w:val="17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(23,112)</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(23,890)</w:t>
            </w:r>
          </w:p>
        </w:tc>
        <w:tc>
          <w:tcPr>
            <w:tcW w:w="0" w:type="dxa"/>
            <w:vAlign w:val="bottom"/>
          </w:tcPr>
          <w:p>
            <w:pPr>
              <w:spacing w:after="0"/>
              <w:rPr>
                <w:sz w:val="1"/>
                <w:szCs w:val="1"/>
                <w:color w:val="auto"/>
              </w:rPr>
            </w:pPr>
          </w:p>
        </w:tc>
      </w:tr>
      <w:tr>
        <w:trPr>
          <w:trHeight w:val="65"/>
        </w:trPr>
        <w:tc>
          <w:tcPr>
            <w:tcW w:w="8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 and restricted cash</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(16,191)</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192,225</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393,836</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152,051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377,645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AND CASH EQUIVALENTS AND RESTRICTED CASH</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128,167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338,532</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64,058</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55,304</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192,225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393,836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76,243</w:t>
            </w:r>
          </w:p>
        </w:tc>
        <w:tc>
          <w:tcPr>
            <w:tcW w:w="80" w:type="dxa"/>
            <w:vAlign w:val="bottom"/>
          </w:tcPr>
          <w:p>
            <w:pPr>
              <w:spacing w:after="0"/>
              <w:rPr>
                <w:sz w:val="17"/>
                <w:szCs w:val="17"/>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319,897</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57,748</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152,051</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377,645</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TRANSACTIONS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Liability for real estate additions, including $419 in 2025 for development fees due to Vornado</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180"/>
        </w:trPr>
        <w:tc>
          <w:tcPr>
            <w:tcW w:w="8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Reclassification of property held for sale</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 (unaudited).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ind w:left="520" w:hanging="515"/>
        <w:spacing w:after="0"/>
        <w:tabs>
          <w:tab w:leader="none" w:pos="520"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w:t>
      </w:r>
    </w:p>
    <w:p>
      <w:pPr>
        <w:spacing w:after="0" w:line="12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Alexander’s, Inc. (NYSE: ALX) is a real estate investment trust (“REIT”), incorporated in Delaware, engaged in leasing, managing, developing and redeveloping its properties. All references to “we,” “us,” “our,” “Company” and “Alexander’s” refer to Alexander’s, Inc. and its consolidated subsidiaries. We are managed by, and our properties are leased and developed by, Vornado Realty Trust (“Vornado”) (NYSE: VNO). We have five properties in New York City.</w:t>
      </w:r>
    </w:p>
    <w:p>
      <w:pPr>
        <w:spacing w:after="0" w:line="17" w:lineRule="exact"/>
        <w:rPr>
          <w:sz w:val="20"/>
          <w:szCs w:val="20"/>
          <w:color w:val="auto"/>
        </w:rPr>
      </w:pPr>
    </w:p>
    <w:p>
      <w:pPr>
        <w:ind w:left="520" w:hanging="515"/>
        <w:spacing w:after="0"/>
        <w:tabs>
          <w:tab w:leader="none" w:pos="52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Presentation</w:t>
      </w:r>
    </w:p>
    <w:p>
      <w:pPr>
        <w:spacing w:after="0" w:line="127"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4"/>
          <w:szCs w:val="14"/>
          <w:color w:val="auto"/>
        </w:rPr>
        <w:t>The accompanying consolidated financial statements are unaudited and include the accounts of Alexander’s and its consolidated subsidiaries. All adjustments (which include only normal recurring adjustments) necessary to present fairly the financial position, results of operations and changes in cash flows have been made. Certain information and footnote disclosures normally included in financial statements prepared in accordance with accounting principles generally accepted in the United States of America (“GAAP”) have been condensed or omitted. These consolidated financial statements have been prepared in accordance with the instructions to Form 10-Q of the Securities and Exchange Commission (“SEC”) and should be read in conjunction with the consolidated financial statements and notes thereto included in our Annual Report on Form 10-K for the year ended December 31, 2025, as filed with the SEC.</w:t>
      </w:r>
    </w:p>
    <w:p>
      <w:pPr>
        <w:spacing w:after="0" w:line="11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We have made estimates and assumptions that affect the reported amounts of assets and liabilities, disclosure of contingent assets and liabilities at the date of the consolidated financial statements and the reported amounts of revenues and expenses during the reporting periods. Actual results could differ from those estimates. The results of operations for the three months ended March 31, 2026 are not necessarily indicative of the operating results for the full year. Certain prior year balances have been reclassified in order to conform to the current period presentation.</w:t>
      </w:r>
    </w:p>
    <w:p>
      <w:pPr>
        <w:ind w:left="520" w:hanging="515"/>
        <w:spacing w:after="0"/>
        <w:tabs>
          <w:tab w:leader="none" w:pos="5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Recently Issued Accounting Literature</w:t>
      </w:r>
    </w:p>
    <w:p>
      <w:pPr>
        <w:spacing w:after="0" w:line="10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4"/>
          <w:szCs w:val="14"/>
          <w:color w:val="auto"/>
        </w:rPr>
        <w:t xml:space="preserve">In November 2024, the Financial Accounting Standards Board (“FASB”) issued Accounting Standards Update (“ASU”) 2024-03, </w:t>
      </w:r>
      <w:r>
        <w:rPr>
          <w:rFonts w:ascii="Times New Roman" w:cs="Times New Roman" w:eastAsia="Times New Roman" w:hAnsi="Times New Roman"/>
          <w:sz w:val="14"/>
          <w:szCs w:val="14"/>
          <w:i w:val="1"/>
          <w:iCs w:val="1"/>
          <w:color w:val="auto"/>
        </w:rPr>
        <w:t>Income Statement - Reporting Comprehensive Income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Disaggregation Disclosures (Subtopic 220-40): Disaggregation of Income Statement Expenses </w:t>
      </w:r>
      <w:r>
        <w:rPr>
          <w:rFonts w:ascii="Times New Roman" w:cs="Times New Roman" w:eastAsia="Times New Roman" w:hAnsi="Times New Roman"/>
          <w:sz w:val="14"/>
          <w:szCs w:val="14"/>
          <w:color w:val="auto"/>
        </w:rPr>
        <w:t>(“ASU 2024-03”), and in January 2025, the FASB issued ASU 2025-01,</w:t>
      </w:r>
      <w:r>
        <w:rPr>
          <w:rFonts w:ascii="Times New Roman" w:cs="Times New Roman" w:eastAsia="Times New Roman" w:hAnsi="Times New Roman"/>
          <w:sz w:val="14"/>
          <w:szCs w:val="14"/>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4"/>
          <w:szCs w:val="14"/>
          <w:color w:val="auto"/>
        </w:rPr>
        <w:t>(“ASU 2025-01”). ASU 2024-03 requires additional disclosure of the nature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4.</w:t>
            </w:r>
          </w:p>
        </w:tc>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Revenue Recognition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40" w:type="dxa"/>
            <w:vAlign w:val="bottom"/>
          </w:tcPr>
          <w:p>
            <w:pPr>
              <w:spacing w:after="0"/>
              <w:rPr>
                <w:sz w:val="24"/>
                <w:szCs w:val="24"/>
                <w:color w:val="auto"/>
              </w:rPr>
            </w:pPr>
          </w:p>
        </w:tc>
        <w:tc>
          <w:tcPr>
            <w:tcW w:w="8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following is a summary of revenue sources for the three months ended March 31, 2026 and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Borders>
              <w:right w:val="single" w:sz="8" w:color="CCEEFF"/>
            </w:tcBorders>
          </w:tcPr>
          <w:p>
            <w:pPr>
              <w:spacing w:after="0"/>
              <w:rPr>
                <w:sz w:val="14"/>
                <w:szCs w:val="14"/>
                <w:color w:val="auto"/>
              </w:rPr>
            </w:pPr>
          </w:p>
        </w:tc>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Lease revenues</w:t>
            </w: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8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Parking revenue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Borders>
              <w:right w:val="single" w:sz="8" w:color="CCEEFF"/>
            </w:tcBorders>
          </w:tcPr>
          <w:p>
            <w:pPr>
              <w:spacing w:after="0"/>
              <w:rPr>
                <w:sz w:val="15"/>
                <w:szCs w:val="15"/>
                <w:color w:val="auto"/>
              </w:rPr>
            </w:pPr>
          </w:p>
        </w:tc>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Tenant services</w:t>
            </w: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Rental revenues</w:t>
            </w:r>
          </w:p>
        </w:tc>
        <w:tc>
          <w:tcPr>
            <w:tcW w:w="1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84"/>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1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The components of lease revenues for the three months ended March 31, 2026 and 2025 are as follows: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4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Borders>
              <w:right w:val="single" w:sz="8" w:color="CCEEFF"/>
            </w:tcBorders>
          </w:tcPr>
          <w:p>
            <w:pPr>
              <w:spacing w:after="0"/>
              <w:rPr>
                <w:sz w:val="14"/>
                <w:szCs w:val="14"/>
                <w:color w:val="auto"/>
              </w:rPr>
            </w:pPr>
          </w:p>
        </w:tc>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lease revenues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8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Variable lease revenues</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 w:type="dxa"/>
            <w:vAlign w:val="bottom"/>
            <w:tcBorders>
              <w:right w:val="single" w:sz="8" w:color="CCEEFF"/>
            </w:tcBorders>
          </w:tcPr>
          <w:p>
            <w:pPr>
              <w:spacing w:after="0"/>
              <w:rPr>
                <w:sz w:val="16"/>
                <w:szCs w:val="16"/>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revenues</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Bloomberg L.P. (“Bloomberg”) leases approximately 947,000 square feet at our 731 Lexington Avenue property and accounted for revenue of $32,471,000 and $32,205,000 for the three months ended March 31, 2026 and 2025, respectively, representing approximately 61% and 59% of our rental revenues in each period, respectively. No other tenant accounted for more than 10% of our rental revenues. If we were to lose Bloomberg as a tenant, or if Bloomberg were to be unable to fulfill its obligations under its lease, it would adversely affect our results of operations and financial condition. In order to assist us in our continuing assessment of Bloomberg’s creditworthiness, we receive certain confidential financial information and metrics from Bloomberg. In addition, we access and evaluate financial information regarding Bloomberg from other private sources, as well as publicly available data.</w:t>
      </w:r>
    </w:p>
    <w:p>
      <w:pPr>
        <w:spacing w:after="0" w:line="5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May 2024, Alexander’s and Bloomberg entered into an agreement to extend Bloomberg’s leases that were scheduled to expire in February 2029 for a term of eleven years to February 2040. In connection with the lease extension, Bloomberg was entitled to a $113,618,000 tenant fund which is accounted for as a lease incentive under GAAP. Accordingly, there is a deferred lease incentive asset of $113,618,000, which is amortized as a reduction to rental revenues over the remaining term of the lease, and a corresponding liability. These amounts are included in “Deferred leasing costs, net” and “Lease incentive liability,” on our consolidated balance sheets. On March 31, 2026, Alexander’s and Bloomberg entered into a lease amendment providing Bloomberg with a rent abatement of $56,809,000 for the period of April 1, 2026 to December 1, 2026, which reduces the tenant fund by a corresponding amount over that period from $113,618,000 to $56,809,000.</w:t>
      </w:r>
    </w:p>
    <w:p>
      <w:pPr>
        <w:spacing w:after="0" w:line="56" w:lineRule="exact"/>
        <w:rPr>
          <w:sz w:val="20"/>
          <w:szCs w:val="20"/>
          <w:color w:val="auto"/>
        </w:rPr>
      </w:pPr>
    </w:p>
    <w:p>
      <w:pPr>
        <w:ind w:left="520" w:hanging="515"/>
        <w:spacing w:after="0"/>
        <w:tabs>
          <w:tab w:leader="none" w:pos="52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Held for Sale</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March 6, 2026, we entered into an agreement to sell our Rego Park I shopping center, located in Queens, New York, for $235,500,000. The sale, which is subject to customary closing conditions, is expected to be completed by the third quarter of 2026. The Company expects to receive overall proceeds of approximately $202,000,000, net of estimated costs. As of March 31, 2026, $20,800,000 of such costs had already been paid. Therefore, we expect to receive proceeds of approximately $222,800,000 at closing of the sale. The financial statement gain is expected to be approximately $147,000,000.</w:t>
      </w:r>
    </w:p>
    <w:p>
      <w:pPr>
        <w:spacing w:after="0" w:line="8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As of March 31, 2026, the $54,654,000 carrying value of the property was classified as “Property held for sale” on our consolidated balance sheet. Components of the property held for sale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(Amounts in thousands)</w:t>
            </w: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270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3"/>
                <w:szCs w:val="13"/>
                <w:color w:val="auto"/>
              </w:rPr>
              <w:t>Land</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Building and leasehold improvements</w:t>
            </w:r>
          </w:p>
        </w:tc>
        <w:tc>
          <w:tcPr>
            <w:tcW w:w="1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105,328</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20" w:type="dxa"/>
            <w:vAlign w:val="bottom"/>
          </w:tcPr>
          <w:p>
            <w:pPr>
              <w:spacing w:after="0"/>
              <w:rPr>
                <w:sz w:val="17"/>
                <w:szCs w:val="17"/>
                <w:color w:val="auto"/>
              </w:rPr>
            </w:pPr>
          </w:p>
        </w:tc>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106,975</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1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(52,321)</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 net</w:t>
            </w:r>
          </w:p>
        </w:tc>
        <w:tc>
          <w:tcPr>
            <w:tcW w:w="1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549"/>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74"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Vornado</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March 31, 2026, Vornado owned 32.4% of our outstanding common stock. We are managed by, and our properties are leased and developed by, Vornado, pursuant to the agreements described below, which expire in March of each year and are automatically renewable.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and Development Agreements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pay Vornado an annual management fee equal to the sum of (i) $2,800,000, (ii) 2% of gross revenue from the Rego Park II shopping center, (iii) $0.50 per square foot of the tenant-occupied office and retail space at 731 Lexington Avenue, and (iv) $399,000, escalating at 3% per annum, for managing the common area of 731 Lexington Avenue. Vornado is also entitled to a development fee equal to 6% of development costs, as defined.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 and Other Agreements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Vornado also provides us with leasing services for a fee of 3% of rent for the first ten years of a lease term, 2% of rent for the eleventh through the twentieth year of a lease term, and 1% of rent for the twenty-first through thirtieth year of a lease term, subject to the payment of rents by tenants. In the event third-party real estate brokers are used, the Company is responsible for any third-party lease commissions and Vornado’s fee is one-third of the applicable third-party lease commission.</w:t>
      </w:r>
    </w:p>
    <w:p>
      <w:pPr>
        <w:spacing w:after="0" w:line="5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Vornado is also entitled to a commission upon the sale of any of our assets equal to 3% of gross proceeds, as defined, for asset sales less than $50,000,000 and 1% of gross proceeds, as defined, for asset sales of $50,000,000 or more.</w:t>
      </w:r>
    </w:p>
    <w:p>
      <w:pPr>
        <w:spacing w:after="0" w:line="3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also have agreements with Building Maintenance Services LLC, a wholly owned subsidiary of Vornado, to supervise (i) cleaning, engineering and security services at our 731 Lexington Avenue property and (ii) security services at our Rego Park I and Rego Park II properties and The Alexander apartment tower. In addition, we have an agreement with a wholly owned subsidiary of Vornado to manage the parking garages at our Rego Park I and Rego Park II properties.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following is a summary of fees earned by Vornado under the various agreements discussed above.</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1"/>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management fees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fees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Leasing fees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Property management, cleaning, engineering, parking and security fees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r>
      <w:tr>
        <w:trPr>
          <w:trHeight w:val="196"/>
        </w:trPr>
        <w:tc>
          <w:tcPr>
            <w:tcW w:w="8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2026, there were no amounts due to Vornado. As of December 31, 2025, the amounts due to Vornado were $100,000 for leasing fees and $34,000 for development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7" w:lineRule="exact"/>
        <w:rPr>
          <w:sz w:val="20"/>
          <w:szCs w:val="20"/>
          <w:color w:val="auto"/>
        </w:rPr>
      </w:pPr>
    </w:p>
    <w:p>
      <w:pPr>
        <w:ind w:left="520" w:hanging="515"/>
        <w:spacing w:after="0"/>
        <w:tabs>
          <w:tab w:leader="none" w:pos="5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Mortgages Payable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our outstanding mortgages payable as of March 31, 2026 and December 31, 2025. We may refinance our maturing debt as it comes due or choose to pay it down.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Interest Rate at March 31,</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8"/>
        </w:trPr>
        <w:tc>
          <w:tcPr>
            <w:tcW w:w="500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0"/>
                <w:szCs w:val="10"/>
                <w:color w:val="auto"/>
              </w:rPr>
            </w:pPr>
          </w:p>
        </w:tc>
        <w:tc>
          <w:tcPr>
            <w:tcW w:w="13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380" w:type="dxa"/>
            <w:vAlign w:val="bottom"/>
            <w:vMerge w:val="continue"/>
          </w:tcPr>
          <w:p>
            <w:pPr>
              <w:spacing w:after="0"/>
              <w:rPr>
                <w:sz w:val="16"/>
                <w:szCs w:val="16"/>
                <w:color w:val="auto"/>
              </w:rPr>
            </w:pPr>
          </w:p>
        </w:tc>
        <w:tc>
          <w:tcPr>
            <w:tcW w:w="186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mortgages secured by:</w:t>
            </w: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731 Lexington Avenue, office condominium</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 09, 2028</w:t>
            </w:r>
          </w:p>
        </w:tc>
        <w:tc>
          <w:tcPr>
            <w:tcW w:w="186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5.04%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80"/>
        </w:trPr>
        <w:tc>
          <w:tcPr>
            <w:tcW w:w="5000" w:type="dxa"/>
            <w:vAlign w:val="bottom"/>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Rego Park II shopping center </w:t>
            </w:r>
            <w:r>
              <w:rPr>
                <w:rFonts w:ascii="Times New Roman" w:cs="Times New Roman" w:eastAsia="Times New Roman" w:hAnsi="Times New Roman"/>
                <w:sz w:val="18"/>
                <w:szCs w:val="18"/>
                <w:color w:val="auto"/>
                <w:vertAlign w:val="superscript"/>
              </w:rPr>
              <w:t>(1)(2)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 5, 2030</w:t>
            </w:r>
          </w:p>
        </w:tc>
        <w:tc>
          <w:tcPr>
            <w:tcW w:w="186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5.67%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731 Lexington Avenue, retail condominium</w:t>
            </w:r>
            <w:r>
              <w:rPr>
                <w:rFonts w:ascii="Times New Roman" w:cs="Times New Roman" w:eastAsia="Times New Roman" w:hAnsi="Times New Roman"/>
                <w:sz w:val="18"/>
                <w:szCs w:val="18"/>
                <w:color w:val="auto"/>
                <w:vertAlign w:val="superscript"/>
              </w:rPr>
              <w:t>(3)</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 23, 2035</w:t>
            </w:r>
          </w:p>
        </w:tc>
        <w:tc>
          <w:tcPr>
            <w:tcW w:w="186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4.55%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167,691</w:t>
            </w: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The Alexander apartment tower</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Nov. 01, 2027</w:t>
            </w:r>
          </w:p>
        </w:tc>
        <w:tc>
          <w:tcPr>
            <w:tcW w:w="1860" w:type="dxa"/>
            <w:vAlign w:val="bottom"/>
            <w:tcBorders>
              <w:bottom w:val="single" w:sz="8" w:color="CCEEFF"/>
            </w:tcBorders>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2.63%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836,691</w:t>
            </w:r>
          </w:p>
        </w:tc>
        <w:tc>
          <w:tcPr>
            <w:tcW w:w="0" w:type="dxa"/>
            <w:vAlign w:val="bottom"/>
          </w:tcPr>
          <w:p>
            <w:pPr>
              <w:spacing w:after="0"/>
              <w:rPr>
                <w:sz w:val="1"/>
                <w:szCs w:val="1"/>
                <w:color w:val="auto"/>
              </w:rPr>
            </w:pPr>
          </w:p>
        </w:tc>
      </w:tr>
      <w:tr>
        <w:trPr>
          <w:trHeight w:val="138"/>
        </w:trPr>
        <w:tc>
          <w:tcPr>
            <w:tcW w:w="500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Deferred debt issuance costs, net of accumulated amortization of $5,907 and</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$5,263, respectively</w:t>
            </w: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829,451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60" w:hanging="260"/>
        <w:spacing w:after="0"/>
        <w:tabs>
          <w:tab w:leader="none" w:pos="3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listed represents the rate in effect as of March 31, 2026 based on SOFR as of contractual reset date plus contractual spread, adjusted for hedging instruments as applicable.</w:t>
      </w:r>
    </w:p>
    <w:p>
      <w:pPr>
        <w:spacing w:after="0" w:line="15" w:lineRule="exact"/>
        <w:rPr>
          <w:rFonts w:ascii="Times New Roman" w:cs="Times New Roman" w:eastAsia="Times New Roman" w:hAnsi="Times New Roman"/>
          <w:sz w:val="13"/>
          <w:szCs w:val="13"/>
          <w:color w:val="auto"/>
        </w:rPr>
      </w:pPr>
    </w:p>
    <w:p>
      <w:pPr>
        <w:ind w:left="360" w:hanging="260"/>
        <w:spacing w:after="0"/>
        <w:tabs>
          <w:tab w:leader="none" w:pos="3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at SOFR plus 2.00% (SOFR is capped at a rate of 4.50% through December 2026).</w:t>
      </w:r>
    </w:p>
    <w:p>
      <w:pPr>
        <w:spacing w:after="0" w:line="6" w:lineRule="exact"/>
        <w:rPr>
          <w:rFonts w:ascii="Times New Roman" w:cs="Times New Roman" w:eastAsia="Times New Roman" w:hAnsi="Times New Roman"/>
          <w:sz w:val="13"/>
          <w:szCs w:val="13"/>
          <w:color w:val="auto"/>
        </w:rPr>
      </w:pPr>
    </w:p>
    <w:p>
      <w:pPr>
        <w:ind w:left="360" w:hanging="260"/>
        <w:spacing w:after="0"/>
        <w:tabs>
          <w:tab w:leader="none" w:pos="3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PIK interest of $2,096 and $191 as of March 31, 2026 and December 31, 2025, respectively. See below for further discussion.</w:t>
      </w:r>
    </w:p>
    <w:p>
      <w:pPr>
        <w:spacing w:after="0" w:line="16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4"/>
          <w:szCs w:val="14"/>
          <w:color w:val="auto"/>
        </w:rPr>
        <w:t>The retail portion of 731 Lexington Avenue is encumbered by a mortgage loan of $300,000,000 which matures in December 2035. The loan was initially split into (i) a $132,500,000 senior A-Note held by a wholly owned subsidiary of Alexander’s, which bears interest at a fixed rate of 7.00% and (ii) a $167,500,000 junior C-Note held by third party lenders, which accrues PIK interest at 4.55%. In addition, Alexander’s funds operating shortfalls, interest on the A-Note and capital for re-leasing at the property through a B-Note, which is junior to the A-Note and senior to the C-Note. The B-Note bears interest at a fixed rate of 13.50%, except for loan amounts above $65,000,000 used to pay interest on the A-Note, which will bear interest at a fixed rate of 7.00%. As of March 31, 2026, the B-Note balance is approximately $748,000.</w:t>
      </w:r>
    </w:p>
    <w:p>
      <w:pPr>
        <w:spacing w:after="0" w:line="157"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4"/>
          <w:szCs w:val="14"/>
          <w:color w:val="auto"/>
        </w:rPr>
        <w:t>All future net sales or refinancing proceeds will be distributed through the payment waterfall per the terms of the loan agreement. If such proceeds (or appraised value in such refinancing) are insufficient to cover the C-Note loan balance, any outstanding C-Note indebtedness that remains unpaid shall be forgiven. Since the debt balances related to the A-Note and B-Note are eliminated in consolidation, the balances presented as mortgages payable for this loan on our consolidated balance sheets are comprised of the principal balance of the C-Note and the PIK interest due upon maturity.</w:t>
      </w:r>
    </w:p>
    <w:p>
      <w:pPr>
        <w:spacing w:after="0" w:line="258"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189"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4"/>
          <w:szCs w:val="14"/>
          <w:color w:val="auto"/>
        </w:rPr>
        <w:t xml:space="preserve">Accounting Standards Codification (“ASC”)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(“ASC 820”) defines fair value and establishes a framework for measuring fair value. ASC 820 establishes a fair value hierarchy that prioritizes observable and unobservable inputs used to measure fair value into three levels: Level 1 – quoted prices (unadjusted) in active markets that are accessible at the measurement date for assets or liabilities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74"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Financial Assets and Liabilities Measured at Fair Value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Financial assets measured at fair value on our consolidated balance sheet as of March 31, 2026 and December 31, 2025 consisted of an interest rate cap, which is presented in the tables below based on its level in the fair value hierarchy. There were no financial liabilities measured at fair value as of March 31, 2026 and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5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cap (included in other assets)</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03"/>
        </w:trPr>
        <w:tc>
          <w:tcPr>
            <w:tcW w:w="5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5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cap (included in other assets)</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Interest Rate Derivatives</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recognize the fair value of all interest rate derivatives in “other assets” or “other liabilities” on our consolidated balance sheets and since our interest rate derivative has been designated as a cash flow hedge, changes in the fair value are recognized in other comprehensive income. The table below summarizes our interest rate derivative, which hedges the interest rate risk attributable to the variable rate debt noted as of March 31, 2026 and December 31, 2025,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Capped Rate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Interest rate cap related to:</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Rego Park II shopping center mortgage loan (included in other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08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85"/>
        </w:trPr>
        <w:tc>
          <w:tcPr>
            <w:tcW w:w="50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
        <w:spacing w:after="0"/>
        <w:tabs>
          <w:tab w:leader="none" w:pos="3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SOFR cap strike rate of 4.50%.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Financial Assets and Liabilities not Measured at Fair Value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Financial assets and liabilities that are not measured at fair value on our consolidated balance sheets include cash equivalents and mortgages payable. Cash equivalents are carried at cost, which approximates fair value due to their short-term maturities and are classified as Level 1. The fair value of our mortgages payable is calculated by discounting the future contractual cash flows of these instruments using current risk-adjusted rates available to borrowers with similar credit ratings, which are provided by a third-party specialist, and is classified as Level 2. The table below summarizes the carrying amount and fair value of these financial instruments as of March 31, 2026 and December 31, 2025,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0" w:type="dxa"/>
            <w:vAlign w:val="bottom"/>
          </w:tcPr>
          <w:p>
            <w:pPr>
              <w:spacing w:after="0"/>
              <w:rPr>
                <w:sz w:val="16"/>
                <w:szCs w:val="16"/>
                <w:color w:val="auto"/>
              </w:rPr>
            </w:pPr>
          </w:p>
        </w:tc>
        <w:tc>
          <w:tcPr>
            <w:tcW w:w="2260" w:type="dxa"/>
            <w:vAlign w:val="bottom"/>
            <w:gridSpan w:val="4"/>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20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8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equivalents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94,978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6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Mortgages payable (excluding deferred debt issuance costs,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786,557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836,691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783,004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2"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Insurance</w:t>
      </w:r>
    </w:p>
    <w:p>
      <w:pPr>
        <w:spacing w:after="0" w:line="96"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We maintain general liability insurance with limits of $300,000,000 per occurrence and per property, which includes communicable disease coverage, and all-risk property and rental value insurance coverage with limits of $1.7 billion per occurrence, including coverage for acts of terrorism, with sub-limits for certain perils such as floods and earthquakes on each of our properties and excluding communicable disease coverage.</w:t>
      </w:r>
    </w:p>
    <w:p>
      <w:pPr>
        <w:spacing w:after="0" w:line="8"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4"/>
          <w:szCs w:val="14"/>
          <w:color w:val="auto"/>
        </w:rPr>
        <w:t>Fifty Ninth Street Insurance Company, LLC (“FNSIC”), our wholly owned consolidated subsidiary, acts as a direct insurer for coverage for acts of terrorism, including nuclear, biological, chemical and radiological (“NBCR”) acts, as defined by the Terrorism Risk Insurance Act of 2002, as amended to date and which has been extended through December 2027. Coverage for acts of terrorism (including NBCR acts) is up to $1.7 billion per occurrence and in the aggregate. Coverage for acts of terrorism (excluding NBCR acts) is fully reinsured by third party insurance companies and the Federal government with no exposure to FNSIC. For NBCR acts, FNSIC is responsible for a deductible of $348,000 and 20% of the balance of a covered loss, and the Federal government is responsible for the remaining 80% of a covered loss. We are ultimately responsible for any loss incurred by FNSIC.</w:t>
      </w:r>
    </w:p>
    <w:p>
      <w:pPr>
        <w:spacing w:after="0" w:line="16" w:lineRule="exact"/>
        <w:rPr>
          <w:sz w:val="20"/>
          <w:szCs w:val="20"/>
          <w:color w:val="auto"/>
        </w:rPr>
      </w:pPr>
    </w:p>
    <w:p>
      <w:pPr>
        <w:jc w:val="both"/>
        <w:ind w:firstLine="191"/>
        <w:spacing w:after="0" w:line="284" w:lineRule="auto"/>
        <w:rPr>
          <w:sz w:val="20"/>
          <w:szCs w:val="20"/>
          <w:color w:val="auto"/>
        </w:rPr>
      </w:pPr>
      <w:r>
        <w:rPr>
          <w:rFonts w:ascii="Times New Roman" w:cs="Times New Roman" w:eastAsia="Times New Roman" w:hAnsi="Times New Roman"/>
          <w:sz w:val="14"/>
          <w:szCs w:val="14"/>
          <w:color w:val="auto"/>
        </w:rPr>
        <w:t>We continue to monitor the state of the insurance market and the scope and costs of coverage for acts of terrorism or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1"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Our loans contain customary covenants requiring us to maintain insurance. Although we believe that we have adequate insurance coverage for purposes of these agreements, we may not be able to obtain an equivalent amount of coverage at reasonable costs in the future. If lenders insist on greater coverage than we are able to obtain, it could adversely affect our ability to finance or refinance our properties.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are various legal actions brought against us from time-to-time in the ordinary course of business. In our opinion, the outcome of such pending matters in the aggregate will not have a material effect on our financial position, results of operations or cash flows.</w:t>
      </w:r>
    </w:p>
    <w:p>
      <w:pPr>
        <w:spacing w:after="0" w:line="80"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income per share, including the number of shares used in computing basic and diluted income per share. Basic income per share is determined using the weighted average shares of common stock (including deferred stock units) outstanding during the period. Diluted income per share is determined using the weighted average shares of common stock (including deferred stock units) outstanding during the period, and assumes all potentially dilutive securities were converted into common shares at the earliest date possible. There were no potentially dilutive securities outstanding during the three months ended March 31, 2026 and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1"/>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in thousands, except share and per share amounts)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05"/>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5,135,956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5,133,534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05"/>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per common share – basic and diluted</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ALEXANDER’S,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3" w:lineRule="exact"/>
        <w:rPr>
          <w:sz w:val="20"/>
          <w:szCs w:val="20"/>
          <w:color w:val="auto"/>
        </w:rPr>
      </w:pPr>
    </w:p>
    <w:p>
      <w:pPr>
        <w:ind w:left="500" w:hanging="495"/>
        <w:spacing w:after="0"/>
        <w:tabs>
          <w:tab w:leader="none" w:pos="50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have determined that our properties, which are considered our operating segments, have similar economic characteristics and meet the criteria that permit these operating segments to be aggregated into one reportable segment (the leasing, management, development and redevelopment of properties in New York City). Net operating income (“NOI”) represents total revenues less operating expenses. The Company’s chief operating decision maker ("CODM") is its Chief Executive Officer, who considers NOI to be the financial measure of segment profit and loss for making decisions on how to allocate resources and assessing the performance of the reportable segment. Asset information by segment is not reported as the CODM does not use this measure to assess segment performance or to make resource allocation decisions.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Below is a summary of financial information for the three months ended March 31, 2026 and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1"/>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53,412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8"/>
              </w:rPr>
              <w:t>54,915</w:t>
            </w:r>
          </w:p>
        </w:tc>
      </w:tr>
      <w:tr>
        <w:trPr>
          <w:trHeight w:val="180"/>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Real estate tax expense</w:t>
            </w:r>
          </w:p>
        </w:tc>
        <w:tc>
          <w:tcPr>
            <w:tcW w:w="180" w:type="dxa"/>
            <w:vAlign w:val="bottom"/>
          </w:tcPr>
          <w:p>
            <w:pPr>
              <w:spacing w:after="0"/>
              <w:rPr>
                <w:sz w:val="15"/>
                <w:szCs w:val="15"/>
                <w:color w:val="auto"/>
              </w:rPr>
            </w:pPr>
          </w:p>
        </w:tc>
        <w:tc>
          <w:tcPr>
            <w:tcW w:w="126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(16,105)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(14,926)</w:t>
            </w:r>
          </w:p>
        </w:tc>
      </w:tr>
      <w:tr>
        <w:trPr>
          <w:trHeight w:val="180"/>
        </w:trPr>
        <w:tc>
          <w:tcPr>
            <w:tcW w:w="830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expenses </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(12,875)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(10,638)</w:t>
            </w:r>
          </w:p>
        </w:tc>
      </w:tr>
      <w:tr>
        <w:trPr>
          <w:trHeight w:val="171"/>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(28,980)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(25,564)</w:t>
            </w:r>
          </w:p>
        </w:tc>
      </w:tr>
      <w:tr>
        <w:trPr>
          <w:trHeight w:val="196"/>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NOI</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24,432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8"/>
              </w:rPr>
              <w:t>29,351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ind w:left="340" w:hanging="321"/>
        <w:spacing w:after="0" w:line="191" w:lineRule="auto"/>
        <w:tabs>
          <w:tab w:leader="none" w:pos="3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Includes various expenses associated with operating our properties including but not limited to ground rent, insurance, repairs and maintenance and utilities.</w:t>
      </w:r>
    </w:p>
    <w:p>
      <w:pPr>
        <w:spacing w:after="0" w:line="191" w:lineRule="exact"/>
        <w:rPr>
          <w:rFonts w:ascii="Times New Roman" w:cs="Times New Roman" w:eastAsia="Times New Roman" w:hAnsi="Times New Roman"/>
          <w:sz w:val="18"/>
          <w:szCs w:val="18"/>
          <w:color w:val="auto"/>
          <w:vertAlign w:val="superscript"/>
        </w:rPr>
      </w:pPr>
    </w:p>
    <w:p>
      <w:pPr>
        <w:ind w:left="36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Below is a reconciliation of NOI to net income for the three months ended March 31, 2026 and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NOI</w:t>
            </w:r>
          </w:p>
        </w:tc>
        <w:tc>
          <w:tcPr>
            <w:tcW w:w="45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29,351</w:t>
            </w:r>
          </w:p>
        </w:tc>
        <w:tc>
          <w:tcPr>
            <w:tcW w:w="0" w:type="dxa"/>
            <w:vAlign w:val="bottom"/>
          </w:tcPr>
          <w:p>
            <w:pPr>
              <w:spacing w:after="0"/>
              <w:rPr>
                <w:sz w:val="1"/>
                <w:szCs w:val="1"/>
                <w:color w:val="auto"/>
              </w:rPr>
            </w:pPr>
          </w:p>
        </w:tc>
      </w:tr>
      <w:tr>
        <w:trPr>
          <w:trHeight w:val="180"/>
        </w:trPr>
        <w:tc>
          <w:tcPr>
            <w:tcW w:w="3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(10,794)</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4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0" w:type="dxa"/>
            <w:vAlign w:val="bottom"/>
          </w:tcPr>
          <w:p>
            <w:pPr>
              <w:spacing w:after="0"/>
              <w:rPr>
                <w:sz w:val="1"/>
                <w:szCs w:val="1"/>
                <w:color w:val="auto"/>
              </w:rPr>
            </w:pPr>
          </w:p>
        </w:tc>
      </w:tr>
      <w:tr>
        <w:trPr>
          <w:trHeight w:val="180"/>
        </w:trPr>
        <w:tc>
          <w:tcPr>
            <w:tcW w:w="3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5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(8,599)</w:t>
            </w:r>
          </w:p>
        </w:tc>
        <w:tc>
          <w:tcPr>
            <w:tcW w:w="0" w:type="dxa"/>
            <w:vAlign w:val="bottom"/>
          </w:tcPr>
          <w:p>
            <w:pPr>
              <w:spacing w:after="0"/>
              <w:rPr>
                <w:sz w:val="1"/>
                <w:szCs w:val="1"/>
                <w:color w:val="auto"/>
              </w:rPr>
            </w:pPr>
          </w:p>
        </w:tc>
      </w:tr>
      <w:tr>
        <w:trPr>
          <w:trHeight w:val="171"/>
        </w:trPr>
        <w:tc>
          <w:tcPr>
            <w:tcW w:w="3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45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500" w:type="dxa"/>
            <w:vAlign w:val="bottom"/>
            <w:vMerge w:val="restart"/>
          </w:tcPr>
          <w:p>
            <w:pPr>
              <w:jc w:val="right"/>
              <w:ind w:right="2529"/>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8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2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ind w:left="12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Alexander’s,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Information</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reviewed the accompanying consolidated balance sheet of Alexander’s, Inc. and subsidiaries (the “Company”) as of March 31, 2026, the related consolidated statements of income, comprehensive income, and changes in equity, for the three-month periods ended March 31, 2026 and 2025, and of cash flows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6" w:name="page17"/>
    <w:bookmarkEnd w:id="16"/>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85"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4"/>
          <w:szCs w:val="14"/>
          <w:color w:val="auto"/>
        </w:rPr>
        <w:t>Certain statements contained in this Quarterly Report constitute forward-looking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Quarterly Report on Form 10-Q. We also note the following forward-looking statements: estimates of future rents, estimates of future capital expenditures, estimates of dividends on shares of our common stock, the timing of closing the sale of our Rego Park I property and the estimates of financial impact from such sale. Many of the factors that will determine the outcome of these and our other forward-looking statements are beyond our ability to control or predict. For a further discussion of factors that could materially affect the outcome of our forward-looking statements, see “Item 1A. Risk Factors” in our Annual Report on Form 10-K for the year ended December 31, 2025.</w:t>
      </w:r>
    </w:p>
    <w:p>
      <w:pPr>
        <w:spacing w:after="0" w:line="11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Quarterly Report on Form 10-Q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Quarterly Report on Form 10-Q.</w:t>
      </w:r>
    </w:p>
    <w:p>
      <w:pPr>
        <w:spacing w:after="0" w:line="27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include a discussion of our consolidated financial statements for the three months ended March 31, 2026. 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The results of operations for the three months ended March 31, 2026 are not necessarily indicative of the operating results for the full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Accounting Estimates and Significant Accounting Policies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 summary of the critical accounting policies and estimates used in the preparation of our consolidated financial statements is included in “Item 7.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w:t>
      </w:r>
      <w:r>
        <w:rPr>
          <w:rFonts w:ascii="Times New Roman" w:cs="Times New Roman" w:eastAsia="Times New Roman" w:hAnsi="Times New Roman"/>
          <w:sz w:val="14"/>
          <w:szCs w:val="14"/>
          <w:color w:val="auto"/>
        </w:rPr>
        <w:t>” in our Annual Report on Form 10-K for the year ended December 31, 2025. For the three months ended March 31, 2026, there were no material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changes to these estimates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Alexander’s, Inc. (NYSE: ALX) is a real estate investment trust (“REIT”), incorporated in Delaware, engaged in leasing, managing, developing and redeveloping its properties. All references to “we,” “us,” “our,” “Company” and “Alexander’s” refer to Alexander’s, Inc. and its consolidated subsidiaries. We are managed by, and our properties are leased and developed by, Vornado Realty Trust (“Vornado”) (NYSE: VNO). We have five properties in New York City.</w:t>
      </w:r>
    </w:p>
    <w:p>
      <w:pPr>
        <w:spacing w:after="0" w:line="5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and local economies, the financial condition and operating results of current and prospective tenants and customers, the availability and cost of capital, construction and renovation costs, taxes, governmental regulations, legislation, population and employment trends, zoning laws, and our ability to lease, sublease or sell our properties, at profitable levels. Our success is also subject to our ability to refinance existing debt on acceptable terms as it comes due.</w:t>
      </w:r>
    </w:p>
    <w:p>
      <w:pPr>
        <w:spacing w:after="0" w:line="5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business has been, and may continue to be, affected by interest rate fluctuations, the effects of inflation and other uncertainties including the potential for an economic downturn. These factors could have a material impact on our business, financial condition, results of operations and cash flows. See “Item 1A. Risk Factors” of our Annual Report on Form 10-K for the year ended December 31, 2025 for additional information regarding these and other factors that may materially affect our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Quarter Ended March 31, 2026 Financial Results Summary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income for the quarter ended March 31, 2026 was $4,662,000, or $0.91 per diluted share, compared to $12,312,000 or $2.40 per diluted share in the prior year’s quarter.</w:t>
      </w:r>
    </w:p>
    <w:p>
      <w:pPr>
        <w:spacing w:after="0" w:line="9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Funds from operations (“FFO”) (non-GAAP) for the quarter ended March 31, 2026 was $13,364,000, or $2.60 per diluted share, compared to $20,842,000 or $4.06 per diluted share in the prior year’s quarter.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Square Footage, Occupancy and Leasing Activity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portfolio is comprised of five properties aggregating 2,446,000 square feet. As of March 31, 2026, the commercial occupancy rate was 94.4% and the residential occupancy rate was 97.4%.</w:t>
      </w:r>
    </w:p>
    <w:p>
      <w:pPr>
        <w:spacing w:after="0" w:line="12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On January 31, 2025, Home Depot’s 83,000 square foot lease at the retail portion of our 731 Lexington Avenue property expired. Annual rental revenues from Home Depot were approximately $15,000,000.</w:t>
      </w:r>
    </w:p>
    <w:p>
      <w:pPr>
        <w:spacing w:after="0" w:line="82"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4"/>
          <w:szCs w:val="14"/>
          <w:color w:val="auto"/>
        </w:rPr>
        <w:t>Bloomberg L.P. (“Bloomberg”) leases approximately 947,000 square feet at our 731 Lexington Avenue property and accounted for revenue of $32,471,000 and $32,205,000 for the three months ended March 31, 2026 and 2025, respectively, representing approximately 61% and 59% of our rental revenues in each period, respectively. No other tenant accounted for more than 10% of our rental revenues. If we were to lose Bloomberg as a tenant, or if Bloomberg were to be unable to fulfill its obligations under its lease, it would adversely affect our results of operations and financial condition. In order to assist us in our continuing assessment of Bloomberg’s creditworthiness, we receive certain confidential financial information and metrics from Bloomberg. In addition, we access and evaluate financial information regarding Bloomberg from other private sources, as well as publicly available data.</w:t>
      </w:r>
    </w:p>
    <w:p>
      <w:pPr>
        <w:spacing w:after="0" w:line="5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May 2024, Alexander’s and Bloomberg entered into an agreement to extend Bloomberg’s leases that were scheduled to expire in February 2029 for a term of eleven years to February 2040. In connection with the lease extension, Bloomberg was entitled to a $113,618,000 tenant fund which is accounted for as a lease incentive under GAAP. Accordingly, there is a deferred lease incentive asset of $113,618,000, which is amortized as a reduction to rental revenues over the remaining term of the lease, and a corresponding liability. These amounts are included in “Deferred leasing costs, net” and “Lease incentive liability,” on our consolidated balance sheets. On March 31, 2026, Alexander’s and Bloomberg entered into a lease amendment providing Bloomberg with a rent abatement of $56,809,000 for the period of April 1, 2026 to December 1, 2026, which reduces the tenant fund by a corresponding amount over that period from $113,618,000 to $56,809,000.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Property Held for Sale</w:t>
      </w:r>
    </w:p>
    <w:p>
      <w:pPr>
        <w:spacing w:after="0" w:line="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March 6, 2026, we entered into an agreement to sell our Rego Park I shopping center, located in Queens, New York, for $235,500,000. The sale, which is subject to customary closing conditions, is expected to be completed by the third quarter of 2026. The Company expects to receive overall proceeds of approximately $202,000,000, net of estimated costs. As of March 31, 2026, $20,800,000 of such costs had already been paid. Therefore, we expect to receive proceeds of approximately $222,800,000 at closing of the sale. The financial statement gain is expected to be approximately $147,000,000.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Results of Operations – Three Months Ended March 31, 2026, compared to March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Rental Revenues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Rental revenues were $53,412,000 for the three months ended March 31, 2026, compared to $54,915,000 for the prior year’s three months, a decrease of $1,503,000. This was primarily due to</w:t>
      </w:r>
    </w:p>
    <w:p>
      <w:pPr>
        <w:spacing w:after="0" w:line="23" w:lineRule="exact"/>
        <w:rPr>
          <w:sz w:val="20"/>
          <w:szCs w:val="20"/>
          <w:color w:val="auto"/>
        </w:rPr>
      </w:pPr>
    </w:p>
    <w:p>
      <w:pPr>
        <w:jc w:val="both"/>
        <w:ind w:firstLine="5"/>
        <w:spacing w:after="0" w:line="259" w:lineRule="auto"/>
        <w:tabs>
          <w:tab w:leader="none" w:pos="17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$1,907,000 of lower rental revenue from Home Depot’s lease expiration and other retail tenant expirations at 731 Lexington Avenue, (ii) $1,555,000 of payments received in the prior year’s three months for tenant receivables that were previously written off and (iii) $976,000 of lower rental revenue from lease expirations at Rego Park I, partially offset by (iv) $1,674,000 of higher operating expense recoveries from higher operating expenses and (v) $1,446,000 of higher rental revenue from new leases at Rego Park II.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Expenses</w:t>
      </w:r>
    </w:p>
    <w:p>
      <w:pPr>
        <w:spacing w:after="0" w:line="9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Operating expenses were $28,980,000 for the three months ended March 31, 2026, compared to $25,564,000 for the prior year’s three months, an increase of $3,416,000. This was primarily due to (i) $1,686,000 of higher operating expenses subject to recovery, including common area maintenance and real estate taxes, (ii) $899,000 of lower capitalized expenses and (iii) $829,000 of higher operating expenses not subject to recovery.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Depreciation and Amortization</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Depreciation and amortization was $8,774,000 for the three months ended March 31, 2026, compared to $8,599,000 for the prior year’s three months, an increase of $175,000.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General and Administrative Expenses</w:t>
      </w:r>
    </w:p>
    <w:p>
      <w:pPr>
        <w:spacing w:after="0" w:line="9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were $1,713,000 for the three months ended March 31, 2026, compared to $1,591,000 for the prior year’s three months, an increase of $122,000. This was primarily due to higher professional fees</w:t>
      </w:r>
      <w:r>
        <w:rPr>
          <w:rFonts w:ascii="Times New Roman" w:cs="Times New Roman" w:eastAsia="Times New Roman" w:hAnsi="Times New Roman"/>
          <w:sz w:val="14"/>
          <w:szCs w:val="14"/>
          <w:color w:val="EE2724"/>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and Other Income</w:t>
      </w:r>
    </w:p>
    <w:p>
      <w:pPr>
        <w:spacing w:after="0" w:line="9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and other income was $1,446,000 for the three months ended March 31, 2026, compared to $3,945,000 for the prior year’s three months, a decrease of $2,499,000. This was primarily due to a decrease in average investment balances and interest rates.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and Debt Expense</w:t>
      </w:r>
    </w:p>
    <w:p>
      <w:pPr>
        <w:spacing w:after="0" w:line="9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Interest and debt expense was $10,729,000 for the three months ended March 31, 2026, compared to $10,794,000 for the prior year’s three months, a decrease of $65,000. This was primarily due to (i) $2,616,000 of lower interest expense from the 731 Lexington Avenue retail loan restructuring in December 2025 and (ii) $501,000 of lower interest expense from the Rego Park II loan refinancing in December 2025, partially offset by (iii) $3,065,000 from the expiration of the 731 Lexington Avenue retail interest rate swap in May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cash requirements include property operating expenses, capital improvements, tenant improvements, debt service, leasing commissions, dividends to stockholders as well as development costs. The sources of liquidity to fund these cash requirements include rental revenue, which is our primary source of cash flow and is dependent upon the occupancy and rental rates of our properties, as well as our existing cash, proceeds from financings, including mortgage or construction loans secured by our properties and proceeds from asset sales.</w:t>
      </w:r>
    </w:p>
    <w:p>
      <w:pPr>
        <w:spacing w:after="0" w:line="5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March 31, 2026, we had $152,051,000 of liquidity comprised of cash and cash equivalents and restricted cash. The ongoing challenges posed by fluctuations in interest rates and the effects of inflation could adversely affect our cash flow from continuing operations but we anticipate that cash flow from continuing operations over the next twelve months, together with existing cash balances, will be adequate to fund our business operations, cash dividends to stockholders, debt service and capital expenditures. We may refinance our maturing debt as it comes due or choose to pay it down. However, there can be no assurance that additional financing or capital will be available to refinance our debt, or that the terms will be acceptable or advantageous to us.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For the Three Months Ended March 31, 2026</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and restricted cash were $152,051,000 as of March 31, 2026, compared to $192,225,000 as of December 31, 2025, a decrease of $40,174,000. This decrease resulted from (i) $23,878,000 of net cash used in investing activities and (ii) $23,112,000 of net cash used in financing activities, partially offset by (iii) $6,816,000 of net cash provided by operating activities.</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of $23,878,000 was comprised of (i) $19,316,000 of payments related to the property held for sale and (ii) $4,562,000 of construction in progress and real estate additions.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 of $23,112,000 was comprised of dividends paid.</w:t>
      </w:r>
    </w:p>
    <w:p>
      <w:pPr>
        <w:spacing w:after="0" w:line="9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of $6,816,000 was comprised of (i) net income of $4,662,000 and (ii) adjustments for non-cash items of $13,893,000, partially offset by (iii) the net change in operating assets and liabilities of $11,739,000. The adjustments for non-cash items were comprised of (i) depreciation and amortization (including amortization of debt issuance costs) of $9,418,000, (ii) PIK interest expense of $1,905,000, (iii) amortization of deferred lease incentives of $1,724,000, (iv) straight-lining of rents of $506,000 and (iv) other non-cash adjustments of $340,000.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For the Three Months Ended March 31, 2025</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and restricted cash were $377,645,000 as of March 31, 2025, compared to $393,836,000 as of December 31, 2024, a decrease of $16,191,000. This decrease resulted from (i) $23,890,000 of net cash used in financing activities and (ii) $8,021,000 of net cash used in investing activities, partially offset by (iii) $15,720,000 of net cash provided by operating activities.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 of $23,890,000 was comprised of $23,101,000 of dividends paid and $789,000 of debt repayments.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 of $8,021,000 was comprised of construction in progress and real estate additions.</w:t>
      </w:r>
    </w:p>
    <w:p>
      <w:pPr>
        <w:spacing w:after="0" w:line="9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of $15,720,000 was comprised of (i) net income of $12,312,000 and (ii) adjustments for non-cash items of $12,743,000, partially offset by (iii) the net change in operating assets and liabilities of $9,335,000. The adjustments for non-cash items were comprised of (i) depreciation and amortization (including amortization of debt issuance costs) of $9,389,000, (ii) amortization of deferred lease incentives of $1,818,000, (iii) straight-lining of rents of $1,020,000, (iv) other non-cash adjustments of $340,000 and (iv) interest rate cap premium amortization of $176,000.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 - continued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Insurance</w:t>
      </w:r>
    </w:p>
    <w:p>
      <w:pPr>
        <w:spacing w:after="0" w:line="96"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We maintain general liability insurance with limits of $300,000,000 per occurrence and per property, which includes communicable disease coverage, and all-risk property and rental value insurance coverage with limits of $1.7 billion per occurrence, including coverage for acts of terrorism, with sub-limits for certain perils such as floods and earthquakes on each of our properties and excluding communicable disease coverage.</w:t>
      </w:r>
    </w:p>
    <w:p>
      <w:pPr>
        <w:spacing w:after="0" w:line="8"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4"/>
          <w:szCs w:val="14"/>
          <w:color w:val="auto"/>
        </w:rPr>
        <w:t>Fifty Ninth Street Insurance Company, LLC (“FNSIC”), our wholly owned consolidated subsidiary, acts as a direct insurer for coverage for acts of terrorism, including nuclear, biological, chemical and radiological (“NBCR”) acts, as defined by the Terrorism Risk Insurance Act of 2002, as amended to date and which has been extended through December 2027. Coverage for acts of terrorism (including NBCR acts) is up to $1.7 billion per occurrence and in the aggregate. Coverage for acts of terrorism (excluding NBCR acts) is fully reinsured by third party insurance companies and the Federal government with no exposure to FNSIC. For NBCR acts, FNSIC is responsible for a deductible of $348,000 and 20% of the balance of a covered loss, and the Federal government is responsible for the remaining 80% of a covered loss. We are ultimately responsible for any loss incurred by FNSIC.</w:t>
      </w:r>
    </w:p>
    <w:p>
      <w:pPr>
        <w:spacing w:after="0" w:line="16" w:lineRule="exact"/>
        <w:rPr>
          <w:sz w:val="20"/>
          <w:szCs w:val="20"/>
          <w:color w:val="auto"/>
        </w:rPr>
      </w:pPr>
    </w:p>
    <w:p>
      <w:pPr>
        <w:jc w:val="both"/>
        <w:ind w:firstLine="191"/>
        <w:spacing w:after="0" w:line="284" w:lineRule="auto"/>
        <w:rPr>
          <w:sz w:val="20"/>
          <w:szCs w:val="20"/>
          <w:color w:val="auto"/>
        </w:rPr>
      </w:pPr>
      <w:r>
        <w:rPr>
          <w:rFonts w:ascii="Times New Roman" w:cs="Times New Roman" w:eastAsia="Times New Roman" w:hAnsi="Times New Roman"/>
          <w:sz w:val="14"/>
          <w:szCs w:val="14"/>
          <w:color w:val="auto"/>
        </w:rPr>
        <w:t>We continue to monitor the state of the insurance market and the scope and costs of coverage for acts of terrorism or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1"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Our loans contain customary covenants requiring us to maintain insurance. Although we believe that we have adequate insurance coverage for purposes of these agreements, we may not be able to obtain an equivalent amount of coverage at reasonable costs in the future. If lenders insist on greater coverage than we are able to obtain, it could adversely affect our ability to finance or refinance our properties.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are various legal actions brought against us from time-to-time in the ordinary course of business. In our opinion, the outcome of such pending matters in the aggregate will not have a material effect on our financial position, results of operations or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Funds from Operations (“FFO”) (non-GAAP)</w:t>
      </w:r>
    </w:p>
    <w:p>
      <w:pPr>
        <w:spacing w:after="0" w:line="202"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FFO is computed in accordance with the definition adopted by the Board of Governors of the National Association of Real Estate Investment Trusts (“NAREIT”). NAREIT defines FFO as GAAP net income or loss adjusted to exclude net gains from sales of certain real estate assets, real estate impairment losses,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A reconciliation of our net income to FFO is provided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FFO (non-GAAP) for the quarters ended March 31, 2026 and 2025</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FFO (non-GAAP) for the quarter ended March 31, 2026 was $13,364,000, or $2.60 per diluted share, compared to $20,842,000 or $4.06 per diluted share in the prior year’s quarter.</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our net income to FFO (non-GAAP):</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in thousands, except share and per share amounts)</w:t>
            </w:r>
          </w:p>
        </w:tc>
        <w:tc>
          <w:tcPr>
            <w:tcW w:w="4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4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8,530</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FFO (non-GAAP)</w:t>
            </w:r>
          </w:p>
        </w:tc>
        <w:tc>
          <w:tcPr>
            <w:tcW w:w="4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13,364</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68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FFO per diluted share (non-GAAP)</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68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in computing FFO per diluted share</w:t>
            </w:r>
          </w:p>
        </w:tc>
        <w:tc>
          <w:tcPr>
            <w:tcW w:w="4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5,135,956</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5,133,534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308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6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2" w:name="page23"/>
    <w:bookmarkEnd w:id="22"/>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have exposure to fluctuations in interest rates, which are sensitive to many factors that are beyond our control. Our exposure to a change in interest rates is summarized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11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Effect of 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38"/>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March 31, Balance</w:t>
            </w:r>
          </w:p>
        </w:tc>
        <w:tc>
          <w:tcPr>
            <w:tcW w:w="80" w:type="dxa"/>
            <w:vAlign w:val="bottom"/>
          </w:tcPr>
          <w:p>
            <w:pPr>
              <w:spacing w:after="0"/>
              <w:rPr>
                <w:sz w:val="11"/>
                <w:szCs w:val="11"/>
                <w:color w:val="auto"/>
              </w:rPr>
            </w:pPr>
          </w:p>
        </w:tc>
        <w:tc>
          <w:tcPr>
            <w:tcW w:w="14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118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180" w:type="dxa"/>
            <w:vAlign w:val="bottom"/>
          </w:tcPr>
          <w:p>
            <w:pPr>
              <w:jc w:val="center"/>
              <w:ind w:right="109"/>
              <w:spacing w:after="0" w:line="13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80" w:type="dxa"/>
            <w:vAlign w:val="bottom"/>
          </w:tcPr>
          <w:p>
            <w:pPr>
              <w:spacing w:after="0"/>
              <w:rPr>
                <w:sz w:val="16"/>
                <w:szCs w:val="16"/>
                <w:color w:val="auto"/>
              </w:rPr>
            </w:pP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Base Rates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7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Rate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w w:val="99"/>
              </w:rPr>
              <w:t>5.72%</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color w:val="auto"/>
                <w:vertAlign w:val="superscript"/>
              </w:rPr>
              <w:t>(1)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663,596</w:t>
            </w:r>
          </w:p>
        </w:tc>
        <w:tc>
          <w:tcPr>
            <w:tcW w:w="14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661,691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jc w:val="center"/>
              <w:ind w:right="109"/>
              <w:spacing w:after="0"/>
              <w:rPr>
                <w:sz w:val="20"/>
                <w:szCs w:val="20"/>
                <w:color w:val="auto"/>
              </w:rPr>
            </w:pPr>
            <w:r>
              <w:rPr>
                <w:rFonts w:ascii="Times New Roman" w:cs="Times New Roman" w:eastAsia="Times New Roman" w:hAnsi="Times New Roman"/>
                <w:sz w:val="14"/>
                <w:szCs w:val="14"/>
                <w:color w:val="auto"/>
                <w:w w:val="99"/>
              </w:rPr>
              <w:t>4.58%</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838,596</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836,691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w w:val="99"/>
              </w:rPr>
              <w:t>4.82%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effect on diluted earnings per share</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60" w:hanging="260"/>
        <w:spacing w:after="0" w:line="281" w:lineRule="auto"/>
        <w:tabs>
          <w:tab w:leader="none" w:pos="3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731 Lexington Avenue retail condominium C-Note loan balance of $169,596 and $167,691 as of March 31, 2026 and December 31, 2025, respectively, including PIK interest of $2,096 and $191, respectively.</w:t>
      </w:r>
    </w:p>
    <w:p>
      <w:pPr>
        <w:spacing w:after="0" w:line="39" w:lineRule="exact"/>
        <w:rPr>
          <w:sz w:val="20"/>
          <w:szCs w:val="20"/>
          <w:color w:val="auto"/>
        </w:rPr>
      </w:pPr>
    </w:p>
    <w:p>
      <w:pPr>
        <w:ind w:right="620" w:firstLine="318"/>
        <w:spacing w:after="0" w:line="411" w:lineRule="auto"/>
        <w:rPr>
          <w:sz w:val="20"/>
          <w:szCs w:val="20"/>
          <w:color w:val="auto"/>
        </w:rPr>
      </w:pPr>
      <w:r>
        <w:rPr>
          <w:rFonts w:ascii="Times New Roman" w:cs="Times New Roman" w:eastAsia="Times New Roman" w:hAnsi="Times New Roman"/>
          <w:sz w:val="14"/>
          <w:szCs w:val="14"/>
          <w:color w:val="auto"/>
        </w:rPr>
        <w:t xml:space="preserve">We have an interest rate cap relating to the mortgage loan on Rego Park II shopping center with a notional amount of $175,000,000 that caps SOFR at 4.50% through December 2026. </w:t>
      </w:r>
      <w:r>
        <w:rPr>
          <w:rFonts w:ascii="Times New Roman" w:cs="Times New Roman" w:eastAsia="Times New Roman" w:hAnsi="Times New Roman"/>
          <w:sz w:val="14"/>
          <w:szCs w:val="14"/>
          <w:i w:val="1"/>
          <w:iCs w:val="1"/>
          <w:u w:val="single" w:color="auto"/>
          <w:color w:val="auto"/>
        </w:rPr>
        <w:t>Fair Value of Debt</w:t>
      </w: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our consolidated debt is calculated by discounting the future contractual cash flows of these instruments using current risk-adjusted rates available to borrowers with similar credit ratings, which are provided by a third-party specialist. As of March 31, 2026 and December 31, 2025, the estimated fair value of our consolidated debt was $786,557,000 and $783,004,000, respectively. Our fair value estimates, which are made at the end of the reporting period, may be different from the amounts that may ultimately be realized upon the disposition of our financial instruments.</w:t>
      </w:r>
    </w:p>
    <w:p>
      <w:pPr>
        <w:spacing w:after="0" w:line="2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96" w:lineRule="exact"/>
        <w:rPr>
          <w:sz w:val="20"/>
          <w:szCs w:val="20"/>
          <w:color w:val="auto"/>
        </w:rPr>
      </w:pPr>
    </w:p>
    <w:p>
      <w:pPr>
        <w:jc w:val="both"/>
        <w:ind w:firstLine="323"/>
        <w:spacing w:after="0" w:line="264" w:lineRule="auto"/>
        <w:tabs>
          <w:tab w:leader="none" w:pos="51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as of the end of the period covered by this Quarterly Report on Form 10-Q. Based on such evaluation, our Chief Executive Officer and Chief Financial Officer have concluded that, as of the end of such period, our disclosure controls and procedures are effective.</w:t>
      </w:r>
    </w:p>
    <w:p>
      <w:pPr>
        <w:spacing w:after="0" w:line="55" w:lineRule="exact"/>
        <w:rPr>
          <w:rFonts w:ascii="Times New Roman" w:cs="Times New Roman" w:eastAsia="Times New Roman" w:hAnsi="Times New Roman"/>
          <w:sz w:val="14"/>
          <w:szCs w:val="14"/>
          <w:color w:val="auto"/>
        </w:rPr>
      </w:pPr>
    </w:p>
    <w:p>
      <w:pPr>
        <w:ind w:firstLine="323"/>
        <w:spacing w:after="0" w:line="287" w:lineRule="auto"/>
        <w:tabs>
          <w:tab w:leader="none" w:pos="52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Control Over Financial Reporting: There have not been any changes in our internal control over financial reporting during the fiscal quarter to which this Quarterly Report on Form 10-Q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3" w:name="page24"/>
    <w:bookmarkEnd w:id="23"/>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PART II.</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We are from time-to-time involved in legal actions arising in the ordinary course of business. In our opinion, the outcome of such matters in the aggregate will not have a material effect on our financial condition, results of operations or cash flows.</w:t>
      </w:r>
    </w:p>
    <w:p>
      <w:pPr>
        <w:spacing w:after="0" w:line="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have been no material changes in our “Risk Factors” as previously disclosed in our Annual Report on Form 10-K for the year ended December 31, 2025.</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none of our directors or officers (as defined in Rule 16a-1(f) of the Securities Exchange Act) adopted, terminated, or modified a Rule 10b5-1 trading arrangement or non-Rule 10b5-1 trading arrangement (as such terms are defined in item 408 of Regulation S-K of the Securities Act of 1933, as amended).</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Exhibits required by Item 601 of Regulation S-K are filed herewith and are listed in the attached Exhibit Index.</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200" w:type="dxa"/>
            <w:vAlign w:val="bottom"/>
          </w:tcPr>
          <w:p>
            <w:pPr>
              <w:spacing w:after="0"/>
              <w:rPr>
                <w:sz w:val="16"/>
                <w:szCs w:val="16"/>
                <w:color w:val="auto"/>
              </w:rPr>
            </w:pPr>
          </w:p>
        </w:tc>
      </w:tr>
      <w:tr>
        <w:trPr>
          <w:trHeight w:val="234"/>
        </w:trPr>
        <w:tc>
          <w:tcPr>
            <w:tcW w:w="260" w:type="dxa"/>
            <w:vAlign w:val="bottom"/>
          </w:tcPr>
          <w:p>
            <w:pPr>
              <w:spacing w:after="0"/>
              <w:rPr>
                <w:sz w:val="20"/>
                <w:szCs w:val="20"/>
                <w:color w:val="auto"/>
              </w:rPr>
            </w:pPr>
          </w:p>
        </w:tc>
        <w:tc>
          <w:tcPr>
            <w:tcW w:w="110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86"/>
        </w:trPr>
        <w:tc>
          <w:tcPr>
            <w:tcW w:w="260" w:type="dxa"/>
            <w:vAlign w:val="bottom"/>
          </w:tcPr>
          <w:p>
            <w:pPr>
              <w:spacing w:after="0"/>
              <w:rPr>
                <w:sz w:val="16"/>
                <w:szCs w:val="16"/>
                <w:color w:val="auto"/>
              </w:rPr>
            </w:pPr>
          </w:p>
        </w:tc>
        <w:tc>
          <w:tcPr>
            <w:tcW w:w="110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5"/>
        </w:trPr>
        <w:tc>
          <w:tcPr>
            <w:tcW w:w="260" w:type="dxa"/>
            <w:vAlign w:val="bottom"/>
          </w:tcPr>
          <w:p>
            <w:pPr>
              <w:spacing w:after="0"/>
              <w:rPr>
                <w:rFonts w:ascii="Times New Roman" w:cs="Times New Roman" w:eastAsia="Times New Roman" w:hAnsi="Times New Roman"/>
                <w:sz w:val="14"/>
                <w:szCs w:val="14"/>
                <w:color w:val="0000FF"/>
                <w:w w:val="97"/>
              </w:rPr>
            </w:pPr>
            <w:hyperlink r:id="rId53">
              <w:r>
                <w:rPr>
                  <w:rFonts w:ascii="Times New Roman" w:cs="Times New Roman" w:eastAsia="Times New Roman" w:hAnsi="Times New Roman"/>
                  <w:sz w:val="14"/>
                  <w:szCs w:val="14"/>
                  <w:color w:val="0000FF"/>
                  <w:w w:val="97"/>
                </w:rPr>
                <w:t>10.1</w:t>
              </w:r>
            </w:hyperlink>
          </w:p>
        </w:tc>
        <w:tc>
          <w:tcPr>
            <w:tcW w:w="1100" w:type="dxa"/>
            <w:vAlign w:val="bottom"/>
          </w:tcPr>
          <w:p>
            <w:pPr>
              <w:spacing w:after="0"/>
              <w:rPr>
                <w:sz w:val="16"/>
                <w:szCs w:val="16"/>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Tenth Amendment of Lease, dated as of March 31, 2026 between 731 Office One LLC and Bloomberg L.P.</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351"/>
        </w:trPr>
        <w:tc>
          <w:tcPr>
            <w:tcW w:w="260" w:type="dxa"/>
            <w:vAlign w:val="bottom"/>
          </w:tcPr>
          <w:p>
            <w:pPr>
              <w:spacing w:after="0"/>
              <w:rPr>
                <w:rFonts w:ascii="Times New Roman" w:cs="Times New Roman" w:eastAsia="Times New Roman" w:hAnsi="Times New Roman"/>
                <w:sz w:val="14"/>
                <w:szCs w:val="14"/>
                <w:color w:val="0000FF"/>
                <w:w w:val="97"/>
              </w:rPr>
            </w:pPr>
            <w:hyperlink r:id="rId54">
              <w:r>
                <w:rPr>
                  <w:rFonts w:ascii="Times New Roman" w:cs="Times New Roman" w:eastAsia="Times New Roman" w:hAnsi="Times New Roman"/>
                  <w:sz w:val="14"/>
                  <w:szCs w:val="14"/>
                  <w:color w:val="0000FF"/>
                  <w:w w:val="97"/>
                </w:rPr>
                <w:t>10.2</w:t>
              </w:r>
            </w:hyperlink>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First Amendment of Loan Agreement, dated as of March 31, 2026 between 731 Office One LLC, as borrower, and Computershare Trust Company, </w:t>
            </w:r>
            <w:r>
              <w:rPr>
                <w:rFonts w:ascii="Times New Roman" w:cs="Times New Roman" w:eastAsia="Times New Roman" w:hAnsi="Times New Roman"/>
                <w:sz w:val="12"/>
                <w:szCs w:val="12"/>
                <w:color w:val="auto"/>
              </w:rPr>
              <w:t>*</w:t>
            </w:r>
          </w:p>
        </w:tc>
      </w:tr>
      <w:tr>
        <w:trPr>
          <w:trHeight w:val="138"/>
        </w:trPr>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9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National Association, As Trustee, for the Benefit of the Holders of Lex 2024-BBG Mortgage Trust Commercial Mortgage Pass -Through Certificates, as</w:t>
            </w:r>
          </w:p>
        </w:tc>
        <w:tc>
          <w:tcPr>
            <w:tcW w:w="200" w:type="dxa"/>
            <w:vAlign w:val="bottom"/>
          </w:tcPr>
          <w:p>
            <w:pPr>
              <w:spacing w:after="0"/>
              <w:rPr>
                <w:sz w:val="11"/>
                <w:szCs w:val="11"/>
                <w:color w:val="auto"/>
              </w:rPr>
            </w:pPr>
          </w:p>
        </w:tc>
      </w:tr>
      <w:tr>
        <w:trPr>
          <w:trHeight w:val="184"/>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Lender</w:t>
            </w:r>
          </w:p>
        </w:tc>
        <w:tc>
          <w:tcPr>
            <w:tcW w:w="200" w:type="dxa"/>
            <w:vAlign w:val="bottom"/>
          </w:tcPr>
          <w:p>
            <w:pPr>
              <w:spacing w:after="0"/>
              <w:rPr>
                <w:sz w:val="16"/>
                <w:szCs w:val="16"/>
                <w:color w:val="auto"/>
              </w:rPr>
            </w:pPr>
          </w:p>
        </w:tc>
      </w:tr>
      <w:tr>
        <w:trPr>
          <w:trHeight w:val="399"/>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0000FF"/>
                <w:w w:val="97"/>
              </w:rPr>
              <w:t>10.3</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Agreement of Purchase and Sale, dated as of March 6, 2026 between Alexander’s Rego Shopping Center LLC and Northwell Health, Inc.</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1"/>
              </w:rPr>
              <w:t>***</w:t>
            </w:r>
          </w:p>
        </w:tc>
      </w:tr>
      <w:tr>
        <w:trPr>
          <w:trHeight w:val="39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0000FF"/>
                <w:w w:val="97"/>
              </w:rPr>
              <w:t>15.1</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Letter regarding unaudited interim financial information</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1"/>
              </w:rPr>
              <w:t>***</w:t>
            </w:r>
          </w:p>
        </w:tc>
      </w:tr>
      <w:tr>
        <w:trPr>
          <w:trHeight w:val="39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31.1</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Rule 13a-14 (a) Certification of the Chief Executive Officer</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1"/>
              </w:rPr>
              <w:t>***</w:t>
            </w:r>
          </w:p>
        </w:tc>
      </w:tr>
      <w:tr>
        <w:trPr>
          <w:trHeight w:val="39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31.2</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Rule 13a-14 (a) Certification of the Chief Financial Officer</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1"/>
              </w:rPr>
              <w:t>***</w:t>
            </w:r>
          </w:p>
        </w:tc>
      </w:tr>
      <w:tr>
        <w:trPr>
          <w:trHeight w:val="39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32.1</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1350 Certification of the Chief Executive Officer</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1"/>
              </w:rPr>
              <w:t>***</w:t>
            </w:r>
          </w:p>
        </w:tc>
      </w:tr>
      <w:tr>
        <w:trPr>
          <w:trHeight w:val="393"/>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0000FF"/>
                <w:w w:val="97"/>
              </w:rPr>
              <w:t>32.2</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 1350 Certification of the Chief Financial Officer</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1"/>
              </w:rPr>
              <w:t>***</w:t>
            </w:r>
          </w:p>
        </w:tc>
      </w:tr>
      <w:tr>
        <w:trPr>
          <w:trHeight w:val="35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following financial information from the Alexander’s, Inc. Quarterly Report on Form 10-Q for the quarter ended March 31, 2026 formatted in Inline</w:t>
            </w:r>
          </w:p>
        </w:tc>
        <w:tc>
          <w:tcPr>
            <w:tcW w:w="200" w:type="dxa"/>
            <w:vAlign w:val="bottom"/>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9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Extensible Business Reporting Language (iXBRL) includes: (i) consolidated balance sheets, (ii) consolidated statements of income, (iii) consolidated</w:t>
            </w:r>
          </w:p>
        </w:tc>
        <w:tc>
          <w:tcPr>
            <w:tcW w:w="200" w:type="dxa"/>
            <w:vAlign w:val="bottom"/>
          </w:tcPr>
          <w:p>
            <w:pPr>
              <w:spacing w:after="0"/>
              <w:rPr>
                <w:sz w:val="11"/>
                <w:szCs w:val="11"/>
                <w:color w:val="auto"/>
              </w:rPr>
            </w:pPr>
          </w:p>
        </w:tc>
      </w:tr>
      <w:tr>
        <w:trPr>
          <w:trHeight w:val="144"/>
        </w:trPr>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92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statements of comprehensive income, (iv) consolidated statements of changes in equity, (v) consolidated statements of cash flows and (vi) the notes to the</w:t>
            </w:r>
          </w:p>
        </w:tc>
        <w:tc>
          <w:tcPr>
            <w:tcW w:w="200" w:type="dxa"/>
            <w:vAlign w:val="bottom"/>
          </w:tcPr>
          <w:p>
            <w:pPr>
              <w:spacing w:after="0"/>
              <w:rPr>
                <w:sz w:val="12"/>
                <w:szCs w:val="12"/>
                <w:color w:val="auto"/>
              </w:rPr>
            </w:pPr>
          </w:p>
        </w:tc>
      </w:tr>
      <w:tr>
        <w:trPr>
          <w:trHeight w:val="184"/>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200" w:type="dxa"/>
            <w:vAlign w:val="bottom"/>
          </w:tcPr>
          <w:p>
            <w:pPr>
              <w:spacing w:after="0"/>
              <w:rPr>
                <w:sz w:val="16"/>
                <w:szCs w:val="16"/>
                <w:color w:val="auto"/>
              </w:rPr>
            </w:pP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100" w:type="dxa"/>
            <w:vAlign w:val="bottom"/>
          </w:tcPr>
          <w:p>
            <w:pPr>
              <w:spacing w:after="0"/>
              <w:rPr>
                <w:sz w:val="24"/>
                <w:szCs w:val="24"/>
                <w:color w:val="auto"/>
              </w:rPr>
            </w:pP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cover page from the Alexander’s, Inc. Quarterly Report on Form 10-Q for the quarter ended March 31, 2026 formatted as iXBRL and contained in</w:t>
            </w:r>
          </w:p>
        </w:tc>
        <w:tc>
          <w:tcPr>
            <w:tcW w:w="200" w:type="dxa"/>
            <w:vAlign w:val="bottom"/>
          </w:tcPr>
          <w:p>
            <w:pPr>
              <w:spacing w:after="0"/>
              <w:rPr>
                <w:sz w:val="24"/>
                <w:szCs w:val="24"/>
                <w:color w:val="auto"/>
              </w:rPr>
            </w:pPr>
          </w:p>
        </w:tc>
      </w:tr>
      <w:tr>
        <w:trPr>
          <w:trHeight w:val="184"/>
        </w:trPr>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Exhibit 101</w:t>
            </w:r>
          </w:p>
        </w:tc>
        <w:tc>
          <w:tcPr>
            <w:tcW w:w="200" w:type="dxa"/>
            <w:vAlign w:val="bottom"/>
          </w:tcPr>
          <w:p>
            <w:pPr>
              <w:spacing w:after="0"/>
              <w:rPr>
                <w:sz w:val="16"/>
                <w:szCs w:val="16"/>
                <w:color w:val="auto"/>
              </w:rPr>
            </w:pPr>
          </w:p>
        </w:tc>
      </w:tr>
    </w:tbl>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1880" w:hanging="884"/>
        <w:spacing w:after="0"/>
        <w:tabs>
          <w:tab w:leader="none" w:pos="18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Incorporated by reference from Form 8-K filed on March 31, 2026.</w:t>
      </w:r>
    </w:p>
    <w:p>
      <w:pPr>
        <w:spacing w:after="0" w:line="19" w:lineRule="exact"/>
        <w:rPr>
          <w:sz w:val="20"/>
          <w:szCs w:val="20"/>
          <w:color w:val="auto"/>
        </w:rPr>
      </w:pPr>
    </w:p>
    <w:p>
      <w:pPr>
        <w:ind w:left="1880" w:hanging="884"/>
        <w:spacing w:after="0"/>
        <w:tabs>
          <w:tab w:leader="none" w:pos="18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Filed herewith.</w:t>
      </w:r>
    </w:p>
    <w:p>
      <w:pPr>
        <w:spacing w:after="0" w:line="19" w:lineRule="exact"/>
        <w:rPr>
          <w:sz w:val="20"/>
          <w:szCs w:val="20"/>
          <w:color w:val="auto"/>
        </w:rPr>
      </w:pPr>
    </w:p>
    <w:p>
      <w:pPr>
        <w:ind w:left="1880" w:right="300" w:hanging="884"/>
        <w:spacing w:after="0" w:line="237"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601(a)(5) of Regulation S-K. The Company agrees to furnish supplementally a copy of any omitted schedule or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20" w:top="887" w:right="6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ALEXANDER’S, INC.</w:t>
            </w:r>
          </w:p>
        </w:tc>
      </w:tr>
      <w:tr>
        <w:trPr>
          <w:trHeight w:val="175"/>
        </w:trPr>
        <w:tc>
          <w:tcPr>
            <w:tcW w:w="2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(Registrant)</w:t>
            </w:r>
          </w:p>
        </w:tc>
      </w:tr>
      <w:tr>
        <w:trPr>
          <w:trHeight w:val="389"/>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Date: May 4, 2026</w:t>
            </w:r>
          </w:p>
        </w:tc>
        <w:tc>
          <w:tcPr>
            <w:tcW w:w="8360" w:type="dxa"/>
            <w:vAlign w:val="bottom"/>
            <w:gridSpan w:val="2"/>
          </w:tcPr>
          <w:p>
            <w:pPr>
              <w:jc w:val="right"/>
              <w:ind w:right="5149"/>
              <w:spacing w:after="0"/>
              <w:rPr>
                <w:sz w:val="20"/>
                <w:szCs w:val="20"/>
                <w:color w:val="auto"/>
              </w:rPr>
            </w:pPr>
            <w:r>
              <w:rPr>
                <w:rFonts w:ascii="Times New Roman" w:cs="Times New Roman" w:eastAsia="Times New Roman" w:hAnsi="Times New Roman"/>
                <w:sz w:val="14"/>
                <w:szCs w:val="14"/>
                <w:color w:val="auto"/>
              </w:rPr>
              <w:t>By:   /s/ Gary Hansen</w:t>
            </w:r>
          </w:p>
        </w:tc>
      </w:tr>
      <w:tr>
        <w:trPr>
          <w:trHeight w:val="167"/>
        </w:trPr>
        <w:tc>
          <w:tcPr>
            <w:tcW w:w="2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Gary Hansen</w:t>
            </w:r>
          </w:p>
        </w:tc>
      </w:tr>
      <w:tr>
        <w:trPr>
          <w:trHeight w:val="184"/>
        </w:trPr>
        <w:tc>
          <w:tcPr>
            <w:tcW w:w="2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Financial Officer (duly authorized officer and principal financial and accounting officer)</w:t>
            </w:r>
          </w:p>
        </w:tc>
      </w:tr>
      <w:tr>
        <w:trPr>
          <w:trHeight w:val="891"/>
        </w:trPr>
        <w:tc>
          <w:tcPr>
            <w:tcW w:w="2880" w:type="dxa"/>
            <w:vAlign w:val="bottom"/>
          </w:tcPr>
          <w:p>
            <w:pPr>
              <w:spacing w:after="0"/>
              <w:rPr>
                <w:sz w:val="24"/>
                <w:szCs w:val="24"/>
                <w:color w:val="auto"/>
              </w:rPr>
            </w:pPr>
          </w:p>
        </w:tc>
        <w:tc>
          <w:tcPr>
            <w:tcW w:w="8360" w:type="dxa"/>
            <w:vAlign w:val="bottom"/>
            <w:gridSpan w:val="2"/>
          </w:tcPr>
          <w:p>
            <w:pPr>
              <w:jc w:val="right"/>
              <w:ind w:right="5469"/>
              <w:spacing w:after="0"/>
              <w:rPr>
                <w:sz w:val="20"/>
                <w:szCs w:val="20"/>
                <w:color w:val="auto"/>
              </w:rPr>
            </w:pPr>
            <w:r>
              <w:rPr>
                <w:rFonts w:ascii="Times New Roman" w:cs="Times New Roman" w:eastAsia="Times New Roman" w:hAnsi="Times New Roman"/>
                <w:sz w:val="14"/>
                <w:szCs w:val="14"/>
                <w:color w:val="auto"/>
              </w:rPr>
              <w:t>26</w:t>
            </w:r>
          </w:p>
        </w:tc>
      </w:tr>
    </w:tbl>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15.1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4,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and Stockholders of Alexander’s,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210 Route 4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Paramus, New Jersey 07652</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aware that our report dated May 4, 2026, on our review of the interim financial information of Alexander’s, Inc. appearing in this Quarterly Report on Form 10-Q for the quarter ended March 31, 2026, is incorporated by reference in Registration Statement No. 333-212838 on Form S-8.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ectPr>
          <w:pgSz w:w="11900" w:h="16838" w:orient="portrait"/>
          <w:cols w:equalWidth="0" w:num="1">
            <w:col w:w="11280"/>
          </w:cols>
          <w:pgMar w:left="300" w:top="1141"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Steven Roth, certify that:</w:t>
      </w:r>
    </w:p>
    <w:p>
      <w:pPr>
        <w:spacing w:after="0" w:line="169" w:lineRule="exact"/>
        <w:rPr>
          <w:sz w:val="20"/>
          <w:szCs w:val="20"/>
          <w:color w:val="auto"/>
        </w:rPr>
      </w:pPr>
    </w:p>
    <w:p>
      <w:pPr>
        <w:ind w:left="760" w:hanging="246"/>
        <w:spacing w:after="0" w:line="161" w:lineRule="exact"/>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of Alexander’s, Inc.;</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80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8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820" w:hanging="306"/>
        <w:spacing w:after="0" w:line="161" w:lineRule="exact"/>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w:t>
      </w:r>
    </w:p>
    <w:p>
      <w:pPr>
        <w:spacing w:after="0" w:line="56" w:lineRule="exact"/>
        <w:rPr>
          <w:rFonts w:ascii="Times New Roman" w:cs="Times New Roman" w:eastAsia="Times New Roman" w:hAnsi="Times New Roman"/>
          <w:sz w:val="14"/>
          <w:szCs w:val="14"/>
          <w:color w:val="auto"/>
        </w:rPr>
      </w:pPr>
    </w:p>
    <w:p>
      <w:pPr>
        <w:ind w:left="760"/>
        <w:spacing w:after="0" w:line="161"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4"/>
          <w:szCs w:val="14"/>
          <w:color w:val="auto"/>
        </w:rPr>
      </w:pPr>
    </w:p>
    <w:p>
      <w:pPr>
        <w:jc w:val="both"/>
        <w:ind w:left="1020" w:hanging="251"/>
        <w:spacing w:after="0" w:line="270" w:lineRule="auto"/>
        <w:tabs>
          <w:tab w:leader="none" w:pos="1073"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10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4"/>
          <w:szCs w:val="14"/>
          <w:color w:val="auto"/>
        </w:rPr>
      </w:pPr>
    </w:p>
    <w:p>
      <w:pPr>
        <w:ind w:left="1020" w:hanging="251"/>
        <w:spacing w:after="0" w:line="287" w:lineRule="auto"/>
        <w:tabs>
          <w:tab w:leader="none" w:pos="103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4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8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60" w:hanging="291"/>
        <w:spacing w:after="0" w:line="287" w:lineRule="auto"/>
        <w:tabs>
          <w:tab w:leader="none" w:pos="1091"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May 4, 2026</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14605</wp:posOffset>
            </wp:positionV>
            <wp:extent cx="272859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spacing w:after="0" w:line="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Steven Roth</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p>
      <w:pPr>
        <w:sectPr>
          <w:pgSz w:w="11900" w:h="16838" w:orient="portrait"/>
          <w:cols w:equalWidth="0" w:num="1">
            <w:col w:w="11280"/>
          </w:cols>
          <w:pgMar w:left="300" w:top="728"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Gary Hansen, certify that:</w:t>
      </w:r>
    </w:p>
    <w:p>
      <w:pPr>
        <w:spacing w:after="0" w:line="169" w:lineRule="exact"/>
        <w:rPr>
          <w:sz w:val="20"/>
          <w:szCs w:val="20"/>
          <w:color w:val="auto"/>
        </w:rPr>
      </w:pPr>
    </w:p>
    <w:p>
      <w:pPr>
        <w:ind w:left="760" w:hanging="246"/>
        <w:spacing w:after="0" w:line="161" w:lineRule="exact"/>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of Alexander’s, Inc.;</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80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8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820" w:hanging="306"/>
        <w:spacing w:after="0" w:line="161" w:lineRule="exact"/>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w:t>
      </w:r>
    </w:p>
    <w:p>
      <w:pPr>
        <w:spacing w:after="0" w:line="56" w:lineRule="exact"/>
        <w:rPr>
          <w:rFonts w:ascii="Times New Roman" w:cs="Times New Roman" w:eastAsia="Times New Roman" w:hAnsi="Times New Roman"/>
          <w:sz w:val="14"/>
          <w:szCs w:val="14"/>
          <w:color w:val="auto"/>
        </w:rPr>
      </w:pPr>
    </w:p>
    <w:p>
      <w:pPr>
        <w:ind w:left="760"/>
        <w:spacing w:after="0" w:line="161"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4"/>
          <w:szCs w:val="14"/>
          <w:color w:val="auto"/>
        </w:rPr>
      </w:pPr>
    </w:p>
    <w:p>
      <w:pPr>
        <w:jc w:val="both"/>
        <w:ind w:left="1020" w:hanging="251"/>
        <w:spacing w:after="0" w:line="270" w:lineRule="auto"/>
        <w:tabs>
          <w:tab w:leader="none" w:pos="1073"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108"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4"/>
          <w:szCs w:val="14"/>
          <w:color w:val="auto"/>
        </w:rPr>
      </w:pPr>
    </w:p>
    <w:p>
      <w:pPr>
        <w:ind w:left="1020" w:hanging="251"/>
        <w:spacing w:after="0" w:line="287" w:lineRule="auto"/>
        <w:tabs>
          <w:tab w:leader="none" w:pos="103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4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8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60" w:hanging="291"/>
        <w:spacing w:after="0" w:line="287" w:lineRule="auto"/>
        <w:tabs>
          <w:tab w:leader="none" w:pos="1091"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May 4, 2026</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 Gary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14605</wp:posOffset>
            </wp:positionV>
            <wp:extent cx="272859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728595" cy="6985"/>
                    </a:xfrm>
                    <a:prstGeom prst="rect">
                      <a:avLst/>
                    </a:prstGeom>
                    <a:noFill/>
                  </pic:spPr>
                </pic:pic>
              </a:graphicData>
            </a:graphic>
          </wp:anchor>
        </w:drawing>
      </w:r>
    </w:p>
    <w:p>
      <w:pPr>
        <w:spacing w:after="0" w:line="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Gary Hansen</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727"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(Subsections (a) and (b) of Section 1350 of Chapter 63 of Title 18 of the United States Code)</w:t>
      </w:r>
    </w:p>
    <w:p>
      <w:pPr>
        <w:spacing w:after="0" w:line="200" w:lineRule="exact"/>
        <w:rPr>
          <w:sz w:val="20"/>
          <w:szCs w:val="20"/>
          <w:color w:val="auto"/>
        </w:rPr>
      </w:pPr>
    </w:p>
    <w:p>
      <w:pPr>
        <w:spacing w:after="0" w:line="240" w:lineRule="exact"/>
        <w:rPr>
          <w:sz w:val="20"/>
          <w:szCs w:val="20"/>
          <w:color w:val="auto"/>
        </w:rPr>
      </w:pPr>
    </w:p>
    <w:p>
      <w:pPr>
        <w:ind w:firstLine="287"/>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of Chapter 63 of Title 18 of the United States Code), the undersigned officer of Alexander’s, Inc. (the “Company”), hereby certifies, to such officer’s knowledge, that:</w:t>
      </w:r>
    </w:p>
    <w:p>
      <w:pPr>
        <w:spacing w:after="0" w:line="145" w:lineRule="exact"/>
        <w:rPr>
          <w:sz w:val="20"/>
          <w:szCs w:val="20"/>
          <w:color w:val="auto"/>
        </w:rPr>
      </w:pPr>
    </w:p>
    <w:p>
      <w:pPr>
        <w:ind w:firstLine="287"/>
        <w:spacing w:after="0" w:line="287" w:lineRule="auto"/>
        <w:rPr>
          <w:sz w:val="20"/>
          <w:szCs w:val="20"/>
          <w:color w:val="auto"/>
        </w:rPr>
      </w:pPr>
      <w:r>
        <w:rPr>
          <w:rFonts w:ascii="Times New Roman" w:cs="Times New Roman" w:eastAsia="Times New Roman" w:hAnsi="Times New Roman"/>
          <w:sz w:val="14"/>
          <w:szCs w:val="14"/>
          <w:color w:val="auto"/>
        </w:rPr>
        <w:t>The Quarterly Report on Form 10-Q for the quarter ended March 31,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May 4, 2026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Steven Roth</w:t>
            </w:r>
          </w:p>
        </w:tc>
      </w:tr>
      <w:tr>
        <w:trPr>
          <w:trHeight w:val="167"/>
        </w:trPr>
        <w:tc>
          <w:tcPr>
            <w:tcW w:w="510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Steven Roth</w:t>
            </w:r>
          </w:p>
        </w:tc>
      </w:tr>
      <w:tr>
        <w:trPr>
          <w:trHeight w:val="184"/>
        </w:trPr>
        <w:tc>
          <w:tcPr>
            <w:tcW w:w="510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r>
    </w:tbl>
    <w:p>
      <w:pPr>
        <w:sectPr>
          <w:pgSz w:w="11900" w:h="16838" w:orient="portrait"/>
          <w:cols w:equalWidth="0" w:num="1">
            <w:col w:w="11280"/>
          </w:cols>
          <w:pgMar w:left="300" w:top="727"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(Subsections (a) and (b) of Section 1350 of Chapter 63 of Title 18 of the United States Code)</w:t>
      </w:r>
    </w:p>
    <w:p>
      <w:pPr>
        <w:spacing w:after="0" w:line="200" w:lineRule="exact"/>
        <w:rPr>
          <w:sz w:val="20"/>
          <w:szCs w:val="20"/>
          <w:color w:val="auto"/>
        </w:rPr>
      </w:pPr>
    </w:p>
    <w:p>
      <w:pPr>
        <w:spacing w:after="0" w:line="240" w:lineRule="exact"/>
        <w:rPr>
          <w:sz w:val="20"/>
          <w:szCs w:val="20"/>
          <w:color w:val="auto"/>
        </w:rPr>
      </w:pPr>
    </w:p>
    <w:p>
      <w:pPr>
        <w:ind w:firstLine="287"/>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of Chapter 63 of Title 18 of the United States Code), the undersigned officer of Alexander’s, Inc. (the “Company”), hereby certifies, to such officer’s knowledge, that:</w:t>
      </w:r>
    </w:p>
    <w:p>
      <w:pPr>
        <w:spacing w:after="0" w:line="145" w:lineRule="exact"/>
        <w:rPr>
          <w:sz w:val="20"/>
          <w:szCs w:val="20"/>
          <w:color w:val="auto"/>
        </w:rPr>
      </w:pPr>
    </w:p>
    <w:p>
      <w:pPr>
        <w:ind w:firstLine="287"/>
        <w:spacing w:after="0" w:line="287" w:lineRule="auto"/>
        <w:rPr>
          <w:sz w:val="20"/>
          <w:szCs w:val="20"/>
          <w:color w:val="auto"/>
        </w:rPr>
      </w:pPr>
      <w:r>
        <w:rPr>
          <w:rFonts w:ascii="Times New Roman" w:cs="Times New Roman" w:eastAsia="Times New Roman" w:hAnsi="Times New Roman"/>
          <w:sz w:val="14"/>
          <w:szCs w:val="14"/>
          <w:color w:val="auto"/>
        </w:rPr>
        <w:t>The Quarterly Report on Form 10-Q for the quarter ended March 31,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315"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May 4, 2026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Gary Hansen</w:t>
            </w:r>
          </w:p>
        </w:tc>
      </w:tr>
      <w:tr>
        <w:trPr>
          <w:trHeight w:val="167"/>
        </w:trPr>
        <w:tc>
          <w:tcPr>
            <w:tcW w:w="510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Gary Hansen</w:t>
            </w:r>
          </w:p>
        </w:tc>
      </w:tr>
      <w:tr>
        <w:trPr>
          <w:trHeight w:val="184"/>
        </w:trPr>
        <w:tc>
          <w:tcPr>
            <w:tcW w:w="510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53" Type="http://schemas.openxmlformats.org/officeDocument/2006/relationships/hyperlink" Target="https://www.sec.gov/Archives/edgar/data/3499/000000349926000014/exhibit101-bloombergtentha.htm" TargetMode="External"/><Relationship Id="rId54" Type="http://schemas.openxmlformats.org/officeDocument/2006/relationships/hyperlink" Target="https://www.sec.gov/Archives/edgar/data/3499/000000349926000014/exhibit102-731lexingtona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2026-05-04T07:33:16Z</dcterms:created>
  <dcterms:modified xsi:type="dcterms:W3CDTF">2026-05-04T07:33:16Z</dcterms:modified>
</cp:coreProperties>
</file>