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-237490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40" w:type="dxa"/>
            <w:vAlign w:val="bottom"/>
          </w:tcPr>
          <w:p>
            <w:pPr>
              <w:jc w:val="center"/>
              <w:ind w:right="1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40" w:type="dxa"/>
            <w:vAlign w:val="bottom"/>
            <w:vMerge w:val="restart"/>
          </w:tcPr>
          <w:p>
            <w:pPr>
              <w:jc w:val="center"/>
              <w:ind w:right="155"/>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-632460</wp:posOffset>
            </wp:positionV>
            <wp:extent cx="58420" cy="645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24765</wp:posOffset>
            </wp:positionV>
            <wp:extent cx="7045960" cy="46672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466725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WIGHT RUSSELL B JR</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888 SEVENTH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ALEXANDERS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ALX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7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05/19/2022</w:t>
      </w:r>
    </w:p>
    <w:p>
      <w:pPr>
        <w:spacing w:after="0" w:line="20" w:lineRule="exact"/>
        <w:rPr>
          <w:sz w:val="24"/>
          <w:szCs w:val="24"/>
          <w:color w:val="auto"/>
        </w:rPr>
      </w:pPr>
      <w:r>
        <w:rPr>
          <w:sz w:val="24"/>
          <w:szCs w:val="24"/>
          <w:color w:val="auto"/>
        </w:rPr>
        <w:br w:type="column"/>
      </w:r>
    </w:p>
    <w:p>
      <w:pPr>
        <w:ind w:left="-4" w:right="600" w:firstLine="4"/>
        <w:spacing w:after="0" w:line="261"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6"/>
        <w:spacing w:after="0"/>
        <w:tabs>
          <w:tab w:leader="none" w:pos="495" w:val="left"/>
          <w:tab w:leader="none" w:pos="2055"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89"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6"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8" w:lineRule="exact"/>
        <w:rPr>
          <w:sz w:val="24"/>
          <w:szCs w:val="24"/>
          <w:color w:val="auto"/>
        </w:rPr>
      </w:pPr>
    </w:p>
    <w:p>
      <w:pPr>
        <w:sectPr>
          <w:pgSz w:w="11900" w:h="16838" w:orient="portrait"/>
          <w:cols w:equalWidth="0" w:num="3">
            <w:col w:w="3200" w:space="720"/>
            <w:col w:w="3104" w:space="720"/>
            <w:col w:w="3336"/>
          </w:cols>
          <w:pgMar w:left="460" w:top="216" w:right="359" w:bottom="1440" w:gutter="0" w:footer="0" w:header="0"/>
          <w:type w:val="continuous"/>
        </w:sectPr>
      </w:pPr>
    </w:p>
    <w:p>
      <w:pPr>
        <w:spacing w:after="0" w:line="23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10019</w:t>
            </w:r>
          </w:p>
        </w:tc>
      </w:tr>
      <w:tr>
        <w:trPr>
          <w:trHeight w:val="152"/>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6"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6"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85" w:lineRule="exact"/>
        <w:rPr>
          <w:sz w:val="24"/>
          <w:szCs w:val="24"/>
          <w:color w:val="auto"/>
        </w:rPr>
      </w:pPr>
    </w:p>
    <w:p>
      <w:pPr>
        <w:sectPr>
          <w:pgSz w:w="11900" w:h="16838" w:orient="portrait"/>
          <w:cols w:equalWidth="0" w:num="2">
            <w:col w:w="3760" w:space="160"/>
            <w:col w:w="716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326</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8"/>
        </w:trPr>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vMerge w:val="restart"/>
          </w:tcPr>
          <w:p>
            <w:pPr>
              <w:jc w:val="right"/>
              <w:ind w:right="200"/>
              <w:spacing w:after="0" w:line="143" w:lineRule="exact"/>
              <w:rPr>
                <w:sz w:val="20"/>
                <w:szCs w:val="20"/>
                <w:color w:val="auto"/>
              </w:rPr>
            </w:pPr>
            <w:r>
              <w:rPr>
                <w:rFonts w:ascii="Times New Roman" w:cs="Times New Roman" w:eastAsia="Times New Roman" w:hAnsi="Times New Roman"/>
                <w:sz w:val="13"/>
                <w:szCs w:val="13"/>
                <w:color w:val="0000FF"/>
              </w:rPr>
              <w:t>05/19/2022</w:t>
            </w:r>
          </w:p>
        </w:tc>
        <w:tc>
          <w:tcPr>
            <w:tcW w:w="1100" w:type="dxa"/>
            <w:vAlign w:val="bottom"/>
          </w:tcPr>
          <w:p>
            <w:pPr>
              <w:spacing w:after="0"/>
              <w:rPr>
                <w:sz w:val="6"/>
                <w:szCs w:val="6"/>
                <w:color w:val="auto"/>
              </w:rPr>
            </w:pPr>
          </w:p>
        </w:tc>
        <w:tc>
          <w:tcPr>
            <w:tcW w:w="80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ind w:left="100"/>
              <w:spacing w:after="0" w:line="143" w:lineRule="exact"/>
              <w:rPr>
                <w:sz w:val="20"/>
                <w:szCs w:val="20"/>
                <w:color w:val="auto"/>
              </w:rPr>
            </w:pPr>
            <w:r>
              <w:rPr>
                <w:rFonts w:ascii="Times New Roman" w:cs="Times New Roman" w:eastAsia="Times New Roman" w:hAnsi="Times New Roman"/>
                <w:sz w:val="13"/>
                <w:szCs w:val="13"/>
                <w:color w:val="0000FF"/>
              </w:rPr>
              <w:t>326</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94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326</w:t>
            </w:r>
          </w:p>
        </w:tc>
        <w:tc>
          <w:tcPr>
            <w:tcW w:w="74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(1)</w:t>
            </w: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3"/>
        </w:trPr>
        <w:tc>
          <w:tcPr>
            <w:tcW w:w="700" w:type="dxa"/>
            <w:vAlign w:val="bottom"/>
            <w:vMerge w:val="continue"/>
          </w:tcPr>
          <w:p>
            <w:pPr>
              <w:spacing w:after="0"/>
              <w:rPr>
                <w:sz w:val="15"/>
                <w:szCs w:val="15"/>
                <w:color w:val="auto"/>
              </w:rPr>
            </w:pP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40" w:right="400" w:firstLine="3"/>
        <w:spacing w:after="0" w:line="260"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May 19, 2022, the reporting person received a grant of Deferred Stock Units of Alexander's, Inc. (the "Company"). The Deferred Stock Units entitled the reporting person to an equivalent number of shares of Common Stock of the Company without the payment of any consideration.</w:t>
      </w:r>
    </w:p>
    <w:p>
      <w:pPr>
        <w:spacing w:after="0" w:line="14" w:lineRule="exact"/>
        <w:rPr>
          <w:rFonts w:ascii="Times New Roman" w:cs="Times New Roman" w:eastAsia="Times New Roman" w:hAnsi="Times New Roman"/>
          <w:sz w:val="13"/>
          <w:szCs w:val="13"/>
          <w:color w:val="008000"/>
        </w:rPr>
      </w:pPr>
    </w:p>
    <w:p>
      <w:pPr>
        <w:ind w:left="40" w:right="380" w:firstLine="3"/>
        <w:spacing w:after="0" w:line="260"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Deferred Stock Units vest immediately but the Common Stock underlying the Deferred Stock Units is not deliverable until the reporting person is no longer serving as a member of the Company's Board of Directors.</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Ryan Saum, Attorney-in-</w:t>
            </w:r>
          </w:p>
        </w:tc>
        <w:tc>
          <w:tcPr>
            <w:tcW w:w="140" w:type="dxa"/>
            <w:vAlign w:val="bottom"/>
          </w:tcPr>
          <w:p>
            <w:pPr>
              <w:spacing w:after="0"/>
              <w:rPr>
                <w:sz w:val="16"/>
                <w:szCs w:val="16"/>
                <w:color w:val="auto"/>
              </w:rPr>
            </w:pPr>
          </w:p>
        </w:tc>
        <w:tc>
          <w:tcPr>
            <w:tcW w:w="9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0000FF"/>
                <w:w w:val="98"/>
              </w:rPr>
              <w:t>05/20/2022</w:t>
            </w:r>
          </w:p>
        </w:tc>
        <w:tc>
          <w:tcPr>
            <w:tcW w:w="0" w:type="dxa"/>
            <w:vAlign w:val="bottom"/>
          </w:tcPr>
          <w:p>
            <w:pPr>
              <w:spacing w:after="0"/>
              <w:rPr>
                <w:sz w:val="1"/>
                <w:szCs w:val="1"/>
                <w:color w:val="auto"/>
              </w:rPr>
            </w:pPr>
          </w:p>
        </w:tc>
      </w:tr>
      <w:tr>
        <w:trPr>
          <w:trHeight w:val="84"/>
        </w:trPr>
        <w:tc>
          <w:tcPr>
            <w:tcW w:w="2060" w:type="dxa"/>
            <w:vAlign w:val="bottom"/>
            <w:gridSpan w:val="3"/>
            <w:vMerge w:val="restart"/>
          </w:tcPr>
          <w:p>
            <w:pPr>
              <w:spacing w:after="0" w:line="189" w:lineRule="exact"/>
              <w:rPr>
                <w:sz w:val="20"/>
                <w:szCs w:val="20"/>
                <w:color w:val="auto"/>
              </w:rPr>
            </w:pPr>
            <w:r>
              <w:rPr>
                <w:rFonts w:ascii="Times New Roman" w:cs="Times New Roman" w:eastAsia="Times New Roman" w:hAnsi="Times New Roman"/>
                <w:sz w:val="17"/>
                <w:szCs w:val="17"/>
                <w:color w:val="0000FF"/>
              </w:rPr>
              <w:t>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06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6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46492" TargetMode="External"/><Relationship Id="rId13" Type="http://schemas.openxmlformats.org/officeDocument/2006/relationships/hyperlink" Target="http://www.sec.gov/cgi-bin/browse-edgar?action=getcompany&amp;CIK=000000349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2022-05-20T15:41:00Z</dcterms:created>
  <dcterms:modified xsi:type="dcterms:W3CDTF">2022-05-20T15:41:00Z</dcterms:modified>
</cp:coreProperties>
</file>