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FORM 10-Q </w:t>
      </w:r>
    </w:p>
    <w:p>
      <w:pPr>
        <w:pStyle w:val="TextBody"/>
        <w:bidi w:val="0"/>
        <w:spacing w:lineRule="auto" w:line="288" w:before="120" w:after="283"/>
        <w:jc w:val="both"/>
        <w:rPr/>
      </w:pPr>
      <w:r>
        <w:rPr>
          <w:rFonts w:ascii="Times New Roman;serif" w:hAnsi="Times New Roman;serif"/>
          <w:b w:val="false"/>
          <w:color w:val="000000"/>
          <w:sz w:val="20"/>
        </w:rPr>
        <w:t>(Mark one)</w:t>
      </w:r>
      <w:r>
        <w:rPr>
          <w:color w:val="000000"/>
        </w:rPr>
        <w:t> </w:t>
      </w:r>
    </w:p>
    <w:tbl>
      <w:tblPr>
        <w:tblW w:w="6338" w:type="dxa"/>
        <w:jc w:val="left"/>
        <w:tblInd w:w="0" w:type="dxa"/>
        <w:tblLayout w:type="fixed"/>
        <w:tblCellMar>
          <w:top w:w="28" w:type="dxa"/>
          <w:left w:w="28" w:type="dxa"/>
          <w:bottom w:w="28" w:type="dxa"/>
          <w:right w:w="28" w:type="dxa"/>
        </w:tblCellMar>
      </w:tblPr>
      <w:tblGrid>
        <w:gridCol w:w="124"/>
        <w:gridCol w:w="109"/>
        <w:gridCol w:w="109"/>
        <w:gridCol w:w="1873"/>
        <w:gridCol w:w="1873"/>
        <w:gridCol w:w="18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 (d)</w:t>
              <w:br/>
              <w:t>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erif" w:hAnsi="Times New Roman;serif"/>
          <w:b w:val="false"/>
          <w:color w:val="000000"/>
          <w:sz w:val="20"/>
        </w:rPr>
        <w:t xml:space="preserve">For the quarterly period ended: </w:t>
      </w:r>
      <w:r>
        <w:rPr>
          <w:color w:val="000000"/>
          <w:u w:val="single"/>
        </w:rPr>
        <w:t>   </w:t>
      </w:r>
      <w:r>
        <w:rPr>
          <w:rFonts w:ascii="Times New Roman;serif" w:hAnsi="Times New Roman;serif"/>
          <w:b/>
          <w:color w:val="000000"/>
          <w:sz w:val="20"/>
          <w:u w:val="single"/>
        </w:rPr>
        <w:t>June 30,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6323" w:type="dxa"/>
        <w:jc w:val="left"/>
        <w:tblInd w:w="0" w:type="dxa"/>
        <w:tblLayout w:type="fixed"/>
        <w:tblCellMar>
          <w:top w:w="28" w:type="dxa"/>
          <w:left w:w="28" w:type="dxa"/>
          <w:bottom w:w="28" w:type="dxa"/>
          <w:right w:w="28" w:type="dxa"/>
        </w:tblCellMar>
      </w:tblPr>
      <w:tblGrid>
        <w:gridCol w:w="124"/>
        <w:gridCol w:w="109"/>
        <w:gridCol w:w="109"/>
        <w:gridCol w:w="1868"/>
        <w:gridCol w:w="1868"/>
        <w:gridCol w:w="18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 (d)</w:t>
              <w:br/>
              <w:t>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756" w:type="dxa"/>
        <w:jc w:val="left"/>
        <w:tblInd w:w="0" w:type="dxa"/>
        <w:tblLayout w:type="fixed"/>
        <w:tblCellMar>
          <w:top w:w="28" w:type="dxa"/>
          <w:left w:w="28" w:type="dxa"/>
          <w:bottom w:w="28" w:type="dxa"/>
          <w:right w:w="28" w:type="dxa"/>
        </w:tblCellMar>
      </w:tblPr>
      <w:tblGrid>
        <w:gridCol w:w="989"/>
        <w:gridCol w:w="870"/>
        <w:gridCol w:w="871"/>
        <w:gridCol w:w="109"/>
        <w:gridCol w:w="109"/>
        <w:gridCol w:w="109"/>
        <w:gridCol w:w="109"/>
        <w:gridCol w:w="109"/>
        <w:gridCol w:w="109"/>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89" w:type="dxa"/>
        <w:jc w:val="left"/>
        <w:tblInd w:w="0" w:type="dxa"/>
        <w:tblLayout w:type="fixed"/>
        <w:tblCellMar>
          <w:top w:w="28" w:type="dxa"/>
          <w:left w:w="28" w:type="dxa"/>
          <w:bottom w:w="28" w:type="dxa"/>
          <w:right w:w="28" w:type="dxa"/>
        </w:tblCellMar>
      </w:tblPr>
      <w:tblGrid>
        <w:gridCol w:w="848"/>
        <w:gridCol w:w="745"/>
        <w:gridCol w:w="747"/>
        <w:gridCol w:w="307"/>
        <w:gridCol w:w="307"/>
        <w:gridCol w:w="435"/>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Commission File Number:</w:t>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001-06064</w:t>
            </w:r>
          </w:p>
        </w:tc>
      </w:tr>
    </w:tbl>
    <w:p>
      <w:pPr>
        <w:pStyle w:val="TextBody"/>
        <w:bidi w:val="0"/>
        <w:spacing w:lineRule="auto" w:line="288" w:before="120" w:after="283"/>
        <w:jc w:val="center"/>
        <w:rPr>
          <w:rFonts w:ascii="Times New Roman;serif" w:hAnsi="Times New Roman;serif"/>
          <w:b/>
          <w:color w:val="000000"/>
          <w:sz w:val="26"/>
          <w:u w:val="single"/>
        </w:rPr>
      </w:pPr>
      <w:r>
        <w:rPr>
          <w:rFonts w:ascii="Times New Roman;serif" w:hAnsi="Times New Roman;serif"/>
          <w:b/>
          <w:color w:val="000000"/>
          <w:sz w:val="26"/>
          <w:u w:val="single"/>
        </w:rPr>
        <w:t xml:space="preserve">ALEXANDERS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677" w:type="dxa"/>
        <w:jc w:val="left"/>
        <w:tblInd w:w="0" w:type="dxa"/>
        <w:tblLayout w:type="fixed"/>
        <w:tblCellMar>
          <w:top w:w="28" w:type="dxa"/>
          <w:left w:w="28" w:type="dxa"/>
          <w:bottom w:w="28" w:type="dxa"/>
          <w:right w:w="28" w:type="dxa"/>
        </w:tblCellMar>
      </w:tblPr>
      <w:tblGrid>
        <w:gridCol w:w="617"/>
        <w:gridCol w:w="542"/>
        <w:gridCol w:w="542"/>
        <w:gridCol w:w="542"/>
        <w:gridCol w:w="542"/>
        <w:gridCol w:w="542"/>
        <w:gridCol w:w="542"/>
        <w:gridCol w:w="542"/>
        <w:gridCol w:w="550"/>
        <w:gridCol w:w="109"/>
        <w:gridCol w:w="109"/>
        <w:gridCol w:w="109"/>
        <w:gridCol w:w="989"/>
        <w:gridCol w:w="989"/>
        <w:gridCol w:w="1411"/>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51-0100517</w:t>
            </w:r>
          </w:p>
        </w:tc>
      </w:tr>
      <w:tr>
        <w:trPr/>
        <w:tc>
          <w:tcPr>
            <w:tcW w:w="4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 Route 4 East,</w:t>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Paramus,</w:t>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07652</w:t>
            </w:r>
          </w:p>
        </w:tc>
      </w:tr>
      <w:tr>
        <w:trPr/>
        <w:tc>
          <w:tcPr>
            <w:tcW w:w="4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(201)</w:t>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587-8541</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N/A</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12" w:type="dxa"/>
        <w:jc w:val="center"/>
        <w:tblInd w:w="0" w:type="dxa"/>
        <w:tblLayout w:type="fixed"/>
        <w:tblCellMar>
          <w:top w:w="28" w:type="dxa"/>
          <w:left w:w="28" w:type="dxa"/>
          <w:bottom w:w="28" w:type="dxa"/>
          <w:right w:w="28" w:type="dxa"/>
        </w:tblCellMar>
      </w:tblPr>
      <w:tblGrid>
        <w:gridCol w:w="1171"/>
        <w:gridCol w:w="1028"/>
        <w:gridCol w:w="1040"/>
        <w:gridCol w:w="109"/>
        <w:gridCol w:w="109"/>
        <w:gridCol w:w="109"/>
        <w:gridCol w:w="564"/>
        <w:gridCol w:w="564"/>
        <w:gridCol w:w="566"/>
        <w:gridCol w:w="109"/>
        <w:gridCol w:w="109"/>
        <w:gridCol w:w="109"/>
        <w:gridCol w:w="1118"/>
        <w:gridCol w:w="1118"/>
        <w:gridCol w:w="1589"/>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center"/>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Yes ☐ No</w:t>
      </w:r>
    </w:p>
    <w:p>
      <w:pPr>
        <w:pStyle w:val="TextBody"/>
        <w:bidi w:val="0"/>
        <w:spacing w:lineRule="auto" w:line="288" w:before="120" w:after="283"/>
        <w:jc w:val="center"/>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Yes ☐ 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37"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723"/>
        <w:gridCol w:w="723"/>
        <w:gridCol w:w="10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Exchange Act. ☐</w:t>
      </w:r>
    </w:p>
    <w:p>
      <w:pPr>
        <w:pStyle w:val="TextBody"/>
        <w:bidi w:val="0"/>
        <w:spacing w:lineRule="auto" w:line="288" w:before="120" w:after="283"/>
        <w:jc w:val="center"/>
        <w:rPr/>
      </w:pPr>
      <w:r>
        <w:rPr>
          <w:rFonts w:ascii="Times New Roman;serif" w:hAnsi="Times New Roman;serif"/>
          <w:b w:val="false"/>
          <w:color w:val="000000"/>
          <w:sz w:val="20"/>
        </w:rPr>
        <w:t>Indicate by check mark whether the registrant is a shell company (as defined in Rule 12b-2 of the Exchange Act). ☐ Yes </w:t>
      </w:r>
      <w:r>
        <w:rPr>
          <w:color w:val="000000"/>
        </w:rPr>
        <w:t>☑ </w:t>
      </w:r>
      <w:r>
        <w:rPr>
          <w:rFonts w:ascii="Times New Roman;serif" w:hAnsi="Times New Roman;serif"/>
          <w:b w:val="false"/>
          <w:color w:val="000000"/>
          <w:sz w:val="20"/>
        </w:rPr>
        <w:t>No</w:t>
      </w:r>
    </w:p>
    <w:p>
      <w:pPr>
        <w:pStyle w:val="TextBody"/>
        <w:bidi w:val="0"/>
        <w:spacing w:lineRule="auto" w:line="288" w:before="240" w:after="283"/>
        <w:jc w:val="center"/>
        <w:rPr/>
      </w:pPr>
      <w:r>
        <w:rPr>
          <w:rFonts w:ascii="Times New Roman;serif" w:hAnsi="Times New Roman;serif"/>
          <w:b w:val="false"/>
          <w:color w:val="000000"/>
          <w:sz w:val="20"/>
        </w:rPr>
        <w:t>As of July 31, 2026, there we</w:t>
      </w:r>
      <w:r>
        <w:rPr>
          <w:rFonts w:ascii="Times New Roman;serif" w:hAnsi="Times New Roman;serif"/>
          <w:b w:val="false"/>
          <w:color w:val="000000"/>
          <w:sz w:val="20"/>
          <w:shd w:fill="FFFFFF" w:val="clear"/>
        </w:rPr>
        <w:t>re 5,107,290 s</w:t>
      </w:r>
      <w:r>
        <w:rPr>
          <w:rFonts w:ascii="Times New Roman;serif" w:hAnsi="Times New Roman;serif"/>
          <w:b w:val="false"/>
          <w:color w:val="000000"/>
          <w:sz w:val="20"/>
        </w:rPr>
        <w:t>hares of common stock, par value $1 per share, outstanding.</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9917" w:type="dxa"/>
        <w:jc w:val="center"/>
        <w:tblInd w:w="0" w:type="dxa"/>
        <w:tblLayout w:type="fixed"/>
        <w:tblCellMar>
          <w:top w:w="28" w:type="dxa"/>
          <w:left w:w="28" w:type="dxa"/>
          <w:bottom w:w="28" w:type="dxa"/>
          <w:right w:w="28" w:type="dxa"/>
        </w:tblCellMar>
      </w:tblPr>
      <w:tblGrid>
        <w:gridCol w:w="451"/>
        <w:gridCol w:w="395"/>
        <w:gridCol w:w="400"/>
        <w:gridCol w:w="2454"/>
        <w:gridCol w:w="2454"/>
        <w:gridCol w:w="2457"/>
        <w:gridCol w:w="382"/>
        <w:gridCol w:w="382"/>
        <w:gridCol w:w="542"/>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Number</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Information:</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(Unaudited) as of</w:t>
            </w:r>
          </w:p>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June 30, 2026 and December 31, 2025</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6">
              <w:r>
                <w:rPr>
                  <w:rStyle w:val="InternetLink"/>
                  <w:rFonts w:ascii="Times New Roman;serif" w:hAnsi="Times New Roman;serif"/>
                  <w:b w:val="false"/>
                  <w:strike w:val="false"/>
                  <w:dstrike w:val="false"/>
                  <w:color w:val="000000"/>
                  <w:sz w:val="20"/>
                  <w:u w:val="none"/>
                  <w:effect w:val="none"/>
                </w:rPr>
                <w:t>4</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Income (Unaudited) for the </w:t>
            </w:r>
          </w:p>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Three and Six Months Ended June 30, 2026 and 2025</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22">
              <w:r>
                <w:rPr>
                  <w:rStyle w:val="InternetLink"/>
                  <w:rFonts w:ascii="Times New Roman;serif" w:hAnsi="Times New Roman;serif"/>
                  <w:b w:val="false"/>
                  <w:strike w:val="false"/>
                  <w:dstrike w:val="false"/>
                  <w:color w:val="000000"/>
                  <w:sz w:val="20"/>
                  <w:u w:val="none"/>
                  <w:effect w:val="none"/>
                </w:rPr>
                <w:t>5</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(Unaudited) for the</w:t>
            </w:r>
          </w:p>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Three and Six Months Ended June 30, 2026 and 2025</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28">
              <w:r>
                <w:rPr>
                  <w:rStyle w:val="InternetLink"/>
                  <w:rFonts w:ascii="Times New Roman;serif" w:hAnsi="Times New Roman;serif"/>
                  <w:b w:val="false"/>
                  <w:strike w:val="false"/>
                  <w:dstrike w:val="false"/>
                  <w:color w:val="000000"/>
                  <w:sz w:val="20"/>
                  <w:u w:val="none"/>
                  <w:effect w:val="none"/>
                </w:rPr>
                <w:t>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Changes in Equity (Unaudited) for the </w:t>
            </w:r>
          </w:p>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Three and Six Months Ended June 30, 2026 and 2025</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31">
              <w:r>
                <w:rPr>
                  <w:rStyle w:val="InternetLink"/>
                  <w:rFonts w:ascii="Times New Roman;serif" w:hAnsi="Times New Roman;serif"/>
                  <w:b w:val="false"/>
                  <w:strike w:val="false"/>
                  <w:dstrike w:val="false"/>
                  <w:color w:val="000000"/>
                  <w:sz w:val="20"/>
                  <w:u w:val="none"/>
                  <w:effect w:val="none"/>
                </w:rPr>
                <w:t>7</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(Unaudited) for the </w:t>
            </w:r>
          </w:p>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Six Months Ended June 30, 2026 and 2025</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37">
              <w:r>
                <w:rPr>
                  <w:rStyle w:val="InternetLink"/>
                  <w:rFonts w:ascii="Times New Roman;serif" w:hAnsi="Times New Roman;serif"/>
                  <w:b w:val="false"/>
                  <w:strike w:val="false"/>
                  <w:dstrike w:val="false"/>
                  <w:color w:val="000000"/>
                  <w:sz w:val="20"/>
                  <w:u w:val="none"/>
                  <w:effect w:val="none"/>
                </w:rPr>
                <w:t>8</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43">
              <w:r>
                <w:rPr>
                  <w:rStyle w:val="InternetLink"/>
                  <w:rFonts w:ascii="Times New Roman;serif" w:hAnsi="Times New Roman;serif"/>
                  <w:b w:val="false"/>
                  <w:strike w:val="false"/>
                  <w:dstrike w:val="false"/>
                  <w:color w:val="000000"/>
                  <w:sz w:val="20"/>
                  <w:u w:val="none"/>
                  <w:effect w:val="none"/>
                </w:rPr>
                <w:t>9</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91">
              <w:r>
                <w:rPr>
                  <w:rStyle w:val="InternetLink"/>
                  <w:rFonts w:ascii="Times New Roman;serif" w:hAnsi="Times New Roman;serif"/>
                  <w:b w:val="false"/>
                  <w:strike w:val="false"/>
                  <w:dstrike w:val="false"/>
                  <w:color w:val="000000"/>
                  <w:sz w:val="20"/>
                  <w:u w:val="none"/>
                  <w:effect w:val="none"/>
                </w:rPr>
                <w:t>16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94">
              <w:r>
                <w:rPr>
                  <w:rStyle w:val="InternetLink"/>
                  <w:rFonts w:ascii="Times New Roman;serif" w:hAnsi="Times New Roman;serif"/>
                  <w:b w:val="false"/>
                  <w:strike w:val="false"/>
                  <w:dstrike w:val="false"/>
                  <w:color w:val="000000"/>
                  <w:sz w:val="20"/>
                  <w:u w:val="none"/>
                  <w:effect w:val="none"/>
                </w:rPr>
                <w:t>17</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06">
              <w:r>
                <w:rPr>
                  <w:rStyle w:val="InternetLink"/>
                  <w:rFonts w:ascii="Times New Roman;serif" w:hAnsi="Times New Roman;serif"/>
                  <w:b w:val="false"/>
                  <w:strike w:val="false"/>
                  <w:dstrike w:val="false"/>
                  <w:color w:val="000000"/>
                  <w:sz w:val="20"/>
                  <w:u w:val="none"/>
                  <w:effect w:val="none"/>
                </w:rPr>
                <w:t>25</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09">
              <w:r>
                <w:rPr>
                  <w:rStyle w:val="InternetLink"/>
                  <w:rFonts w:ascii="Times New Roman;serif" w:hAnsi="Times New Roman;serif"/>
                  <w:b w:val="false"/>
                  <w:strike w:val="false"/>
                  <w:dstrike w:val="false"/>
                  <w:color w:val="000000"/>
                  <w:sz w:val="20"/>
                  <w:u w:val="none"/>
                  <w:effect w:val="none"/>
                </w:rPr>
                <w:t>25</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Information:</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15">
              <w:r>
                <w:rPr>
                  <w:rStyle w:val="InternetLink"/>
                  <w:rFonts w:ascii="Times New Roman;serif" w:hAnsi="Times New Roman;serif"/>
                  <w:b w:val="false"/>
                  <w:strike w:val="false"/>
                  <w:dstrike w:val="false"/>
                  <w:color w:val="000000"/>
                  <w:sz w:val="20"/>
                  <w:u w:val="none"/>
                  <w:effect w:val="none"/>
                </w:rPr>
                <w:t>26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18">
              <w:r>
                <w:rPr>
                  <w:rStyle w:val="InternetLink"/>
                  <w:rFonts w:ascii="Times New Roman;serif" w:hAnsi="Times New Roman;serif"/>
                  <w:b w:val="false"/>
                  <w:strike w:val="false"/>
                  <w:dstrike w:val="false"/>
                  <w:color w:val="000000"/>
                  <w:sz w:val="20"/>
                  <w:u w:val="none"/>
                  <w:effect w:val="none"/>
                </w:rPr>
                <w:t>26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21">
              <w:r>
                <w:rPr>
                  <w:rStyle w:val="InternetLink"/>
                  <w:rFonts w:ascii="Times New Roman;serif" w:hAnsi="Times New Roman;serif"/>
                  <w:b w:val="false"/>
                  <w:strike w:val="false"/>
                  <w:dstrike w:val="false"/>
                  <w:color w:val="000000"/>
                  <w:sz w:val="20"/>
                  <w:u w:val="none"/>
                  <w:effect w:val="none"/>
                </w:rPr>
                <w:t>26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24">
              <w:r>
                <w:rPr>
                  <w:rStyle w:val="InternetLink"/>
                  <w:rFonts w:ascii="Times New Roman;serif" w:hAnsi="Times New Roman;serif"/>
                  <w:b w:val="false"/>
                  <w:strike w:val="false"/>
                  <w:dstrike w:val="false"/>
                  <w:color w:val="000000"/>
                  <w:sz w:val="20"/>
                  <w:u w:val="none"/>
                  <w:effect w:val="none"/>
                </w:rPr>
                <w:t>26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27">
              <w:r>
                <w:rPr>
                  <w:rStyle w:val="InternetLink"/>
                  <w:rFonts w:ascii="Times New Roman;serif" w:hAnsi="Times New Roman;serif"/>
                  <w:b w:val="false"/>
                  <w:strike w:val="false"/>
                  <w:dstrike w:val="false"/>
                  <w:color w:val="000000"/>
                  <w:sz w:val="20"/>
                  <w:u w:val="none"/>
                  <w:effect w:val="none"/>
                </w:rPr>
                <w:t>26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30">
              <w:r>
                <w:rPr>
                  <w:rStyle w:val="InternetLink"/>
                  <w:rFonts w:ascii="Times New Roman;serif" w:hAnsi="Times New Roman;serif"/>
                  <w:b w:val="false"/>
                  <w:strike w:val="false"/>
                  <w:dstrike w:val="false"/>
                  <w:color w:val="000000"/>
                  <w:sz w:val="20"/>
                  <w:u w:val="none"/>
                  <w:effect w:val="none"/>
                </w:rPr>
                <w:t>26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33">
              <w:r>
                <w:rPr>
                  <w:rStyle w:val="InternetLink"/>
                  <w:rFonts w:ascii="Times New Roman;serif" w:hAnsi="Times New Roman;serif"/>
                  <w:b w:val="false"/>
                  <w:strike w:val="false"/>
                  <w:dstrike w:val="false"/>
                  <w:color w:val="000000"/>
                  <w:sz w:val="20"/>
                  <w:u w:val="none"/>
                  <w:effect w:val="none"/>
                </w:rPr>
                <w:t>26</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36">
              <w:r>
                <w:rPr>
                  <w:rStyle w:val="InternetLink"/>
                  <w:rFonts w:ascii="Times New Roman;serif" w:hAnsi="Times New Roman;serif"/>
                  <w:b w:val="false"/>
                  <w:strike w:val="false"/>
                  <w:dstrike w:val="false"/>
                  <w:color w:val="000000"/>
                  <w:sz w:val="20"/>
                  <w:u w:val="none"/>
                  <w:effect w:val="none"/>
                </w:rPr>
                <w:t>27</w:t>
              </w:r>
            </w:hyperlink>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9d1fbd513d4c95bab0f9b375afea98_139">
              <w:r>
                <w:rPr>
                  <w:rStyle w:val="InternetLink"/>
                  <w:rFonts w:ascii="Times New Roman;serif" w:hAnsi="Times New Roman;serif"/>
                  <w:b w:val="false"/>
                  <w:strike w:val="false"/>
                  <w:dstrike w:val="false"/>
                  <w:color w:val="000000"/>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share and per share amounts)</w:t>
      </w:r>
    </w:p>
    <w:tbl>
      <w:tblPr>
        <w:tblW w:w="9854" w:type="dxa"/>
        <w:jc w:val="left"/>
        <w:tblInd w:w="0" w:type="dxa"/>
        <w:tblLayout w:type="fixed"/>
        <w:tblCellMar>
          <w:top w:w="28" w:type="dxa"/>
          <w:left w:w="28" w:type="dxa"/>
          <w:bottom w:w="28" w:type="dxa"/>
          <w:right w:w="28" w:type="dxa"/>
        </w:tblCellMar>
      </w:tblPr>
      <w:tblGrid>
        <w:gridCol w:w="2219"/>
        <w:gridCol w:w="1954"/>
        <w:gridCol w:w="1962"/>
        <w:gridCol w:w="109"/>
        <w:gridCol w:w="109"/>
        <w:gridCol w:w="109"/>
        <w:gridCol w:w="211"/>
        <w:gridCol w:w="976"/>
        <w:gridCol w:w="109"/>
        <w:gridCol w:w="109"/>
        <w:gridCol w:w="109"/>
        <w:gridCol w:w="109"/>
        <w:gridCol w:w="278"/>
        <w:gridCol w:w="1288"/>
        <w:gridCol w:w="203"/>
      </w:tblGrid>
      <w:tr>
        <w:trPr/>
        <w:tc>
          <w:tcPr>
            <w:tcW w:w="221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1,103,771 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(473,141)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630,630 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arising from the straight-lining of rents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leasing costs, net, including unamortized leasing fees to Vornado</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of $20,044 and $20,649,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1,110,708 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65" w:type="dxa"/>
        <w:jc w:val="center"/>
        <w:tblInd w:w="0" w:type="dxa"/>
        <w:tblLayout w:type="fixed"/>
        <w:tblCellMar>
          <w:top w:w="28" w:type="dxa"/>
          <w:left w:w="28" w:type="dxa"/>
          <w:bottom w:w="28" w:type="dxa"/>
          <w:right w:w="28" w:type="dxa"/>
        </w:tblCellMar>
      </w:tblPr>
      <w:tblGrid>
        <w:gridCol w:w="2200"/>
        <w:gridCol w:w="1932"/>
        <w:gridCol w:w="1942"/>
        <w:gridCol w:w="109"/>
        <w:gridCol w:w="109"/>
        <w:gridCol w:w="109"/>
        <w:gridCol w:w="211"/>
        <w:gridCol w:w="976"/>
        <w:gridCol w:w="109"/>
        <w:gridCol w:w="109"/>
        <w:gridCol w:w="109"/>
        <w:gridCol w:w="109"/>
        <w:gridCol w:w="211"/>
        <w:gridCol w:w="976"/>
        <w:gridCol w:w="154"/>
      </w:tblGrid>
      <w:tr>
        <w:trPr/>
        <w:tc>
          <w:tcPr>
            <w:tcW w:w="220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Mortgages payable, net of deferred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incentive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$1.00 par value per share; authorized, 3,000,000 shares;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issued and outstanding, 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$1.00 par value per share; authorized, 10,000,000 shares;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issued, 5,173,450 shares; outstanding, 5,107,290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w:t>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69,201</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66,160 shares,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67"/>
        <w:gridCol w:w="1160"/>
        <w:gridCol w:w="1162"/>
        <w:gridCol w:w="109"/>
        <w:gridCol w:w="109"/>
        <w:gridCol w:w="109"/>
        <w:gridCol w:w="229"/>
        <w:gridCol w:w="900"/>
        <w:gridCol w:w="118"/>
        <w:gridCol w:w="118"/>
        <w:gridCol w:w="118"/>
        <w:gridCol w:w="118"/>
        <w:gridCol w:w="260"/>
        <w:gridCol w:w="786"/>
        <w:gridCol w:w="118"/>
        <w:gridCol w:w="109"/>
        <w:gridCol w:w="109"/>
        <w:gridCol w:w="109"/>
        <w:gridCol w:w="220"/>
        <w:gridCol w:w="865"/>
        <w:gridCol w:w="114"/>
        <w:gridCol w:w="114"/>
        <w:gridCol w:w="114"/>
        <w:gridCol w:w="114"/>
        <w:gridCol w:w="220"/>
        <w:gridCol w:w="865"/>
        <w:gridCol w:w="171"/>
      </w:tblGrid>
      <w:tr>
        <w:trPr/>
        <w:tc>
          <w:tcPr>
            <w:tcW w:w="166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fees to Vornado of $2,114, $1,590, $3,525 and $3,182,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including management fees to Vornado of $635, $610, $1,245, and $1,220,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5,137,549 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5,134,599 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5,136,757 </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5,134,069 </w:t>
            </w:r>
          </w:p>
        </w:tc>
        <w:tc>
          <w:tcPr>
            <w:tcW w:w="1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1252"/>
        <w:gridCol w:w="1091"/>
        <w:gridCol w:w="1101"/>
        <w:gridCol w:w="109"/>
        <w:gridCol w:w="109"/>
        <w:gridCol w:w="109"/>
        <w:gridCol w:w="272"/>
        <w:gridCol w:w="1070"/>
        <w:gridCol w:w="140"/>
        <w:gridCol w:w="140"/>
        <w:gridCol w:w="140"/>
        <w:gridCol w:w="140"/>
        <w:gridCol w:w="272"/>
        <w:gridCol w:w="798"/>
        <w:gridCol w:w="140"/>
        <w:gridCol w:w="109"/>
        <w:gridCol w:w="109"/>
        <w:gridCol w:w="109"/>
        <w:gridCol w:w="246"/>
        <w:gridCol w:w="965"/>
        <w:gridCol w:w="126"/>
        <w:gridCol w:w="126"/>
        <w:gridCol w:w="126"/>
        <w:gridCol w:w="126"/>
        <w:gridCol w:w="246"/>
        <w:gridCol w:w="842"/>
        <w:gridCol w:w="192"/>
      </w:tblGrid>
      <w:tr>
        <w:trPr/>
        <w:tc>
          <w:tcPr>
            <w:tcW w:w="125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160,035 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w:t>
      </w:r>
    </w:p>
    <w:tbl>
      <w:tblPr>
        <w:tblW w:w="10568" w:type="dxa"/>
        <w:jc w:val="left"/>
        <w:tblInd w:w="0" w:type="dxa"/>
        <w:tblLayout w:type="fixed"/>
        <w:tblCellMar>
          <w:top w:w="28" w:type="dxa"/>
          <w:left w:w="28" w:type="dxa"/>
          <w:bottom w:w="28" w:type="dxa"/>
          <w:right w:w="28" w:type="dxa"/>
        </w:tblCellMar>
      </w:tblPr>
      <w:tblGrid>
        <w:gridCol w:w="554"/>
        <w:gridCol w:w="315"/>
        <w:gridCol w:w="152"/>
        <w:gridCol w:w="109"/>
        <w:gridCol w:w="109"/>
        <w:gridCol w:w="109"/>
        <w:gridCol w:w="406"/>
        <w:gridCol w:w="210"/>
        <w:gridCol w:w="211"/>
        <w:gridCol w:w="109"/>
        <w:gridCol w:w="109"/>
        <w:gridCol w:w="109"/>
        <w:gridCol w:w="211"/>
        <w:gridCol w:w="616"/>
        <w:gridCol w:w="109"/>
        <w:gridCol w:w="109"/>
        <w:gridCol w:w="109"/>
        <w:gridCol w:w="109"/>
        <w:gridCol w:w="211"/>
        <w:gridCol w:w="721"/>
        <w:gridCol w:w="109"/>
        <w:gridCol w:w="109"/>
        <w:gridCol w:w="109"/>
        <w:gridCol w:w="109"/>
        <w:gridCol w:w="211"/>
        <w:gridCol w:w="826"/>
        <w:gridCol w:w="109"/>
        <w:gridCol w:w="109"/>
        <w:gridCol w:w="109"/>
        <w:gridCol w:w="109"/>
        <w:gridCol w:w="344"/>
        <w:gridCol w:w="784"/>
        <w:gridCol w:w="178"/>
        <w:gridCol w:w="109"/>
        <w:gridCol w:w="109"/>
        <w:gridCol w:w="109"/>
        <w:gridCol w:w="211"/>
        <w:gridCol w:w="491"/>
        <w:gridCol w:w="109"/>
        <w:gridCol w:w="109"/>
        <w:gridCol w:w="109"/>
        <w:gridCol w:w="109"/>
        <w:gridCol w:w="211"/>
        <w:gridCol w:w="82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9"/>
              </w:rPr>
            </w:pPr>
            <w:r>
              <w:rPr>
                <w:rFonts w:ascii="Times New Roman;serif" w:hAnsi="Times New Roman;serif"/>
                <w:b/>
                <w:color w:val="000000"/>
                <w:sz w:val="19"/>
              </w:rPr>
              <w:t>For the 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Dividends paid ($4.50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fair value of interest rate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unit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9"/>
              </w:rPr>
            </w:pPr>
            <w:r>
              <w:rPr>
                <w:rFonts w:ascii="Times New Roman;serif" w:hAnsi="Times New Roman;serif"/>
                <w:b/>
                <w:color w:val="000000"/>
                <w:sz w:val="19"/>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Dividends paid ($4.50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fair value of 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unit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68" w:type="dxa"/>
        <w:jc w:val="left"/>
        <w:tblInd w:w="0" w:type="dxa"/>
        <w:tblLayout w:type="fixed"/>
        <w:tblCellMar>
          <w:top w:w="28" w:type="dxa"/>
          <w:left w:w="28" w:type="dxa"/>
          <w:bottom w:w="28" w:type="dxa"/>
          <w:right w:w="28" w:type="dxa"/>
        </w:tblCellMar>
      </w:tblPr>
      <w:tblGrid>
        <w:gridCol w:w="531"/>
        <w:gridCol w:w="295"/>
        <w:gridCol w:w="195"/>
        <w:gridCol w:w="109"/>
        <w:gridCol w:w="109"/>
        <w:gridCol w:w="109"/>
        <w:gridCol w:w="406"/>
        <w:gridCol w:w="210"/>
        <w:gridCol w:w="211"/>
        <w:gridCol w:w="109"/>
        <w:gridCol w:w="109"/>
        <w:gridCol w:w="109"/>
        <w:gridCol w:w="211"/>
        <w:gridCol w:w="616"/>
        <w:gridCol w:w="109"/>
        <w:gridCol w:w="109"/>
        <w:gridCol w:w="109"/>
        <w:gridCol w:w="109"/>
        <w:gridCol w:w="211"/>
        <w:gridCol w:w="721"/>
        <w:gridCol w:w="109"/>
        <w:gridCol w:w="109"/>
        <w:gridCol w:w="109"/>
        <w:gridCol w:w="109"/>
        <w:gridCol w:w="211"/>
        <w:gridCol w:w="826"/>
        <w:gridCol w:w="109"/>
        <w:gridCol w:w="109"/>
        <w:gridCol w:w="109"/>
        <w:gridCol w:w="109"/>
        <w:gridCol w:w="294"/>
        <w:gridCol w:w="859"/>
        <w:gridCol w:w="153"/>
        <w:gridCol w:w="109"/>
        <w:gridCol w:w="109"/>
        <w:gridCol w:w="109"/>
        <w:gridCol w:w="211"/>
        <w:gridCol w:w="491"/>
        <w:gridCol w:w="109"/>
        <w:gridCol w:w="109"/>
        <w:gridCol w:w="109"/>
        <w:gridCol w:w="109"/>
        <w:gridCol w:w="211"/>
        <w:gridCol w:w="82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w:t>
              <w:br/>
              <w:t>Other</w:t>
              <w:br/>
              <w:t>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9"/>
              </w:rPr>
            </w:pPr>
            <w:r>
              <w:rPr>
                <w:rFonts w:ascii="Times New Roman;serif" w:hAnsi="Times New Roman;serif"/>
                <w:b/>
                <w:color w:val="000000"/>
                <w:sz w:val="19"/>
              </w:rPr>
              <w:t>For the 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Dividends paid ($9.00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fair value of interest rate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unit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9"/>
              </w:rPr>
            </w:pPr>
            <w:r>
              <w:rPr>
                <w:rFonts w:ascii="Times New Roman;serif" w:hAnsi="Times New Roman;serif"/>
                <w:b/>
                <w:color w:val="000000"/>
                <w:sz w:val="19"/>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Dividends paid ($9.00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fair value of 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unit grants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587"/>
        <w:gridCol w:w="2161"/>
        <w:gridCol w:w="2165"/>
        <w:gridCol w:w="109"/>
        <w:gridCol w:w="109"/>
        <w:gridCol w:w="109"/>
        <w:gridCol w:w="234"/>
        <w:gridCol w:w="919"/>
        <w:gridCol w:w="121"/>
        <w:gridCol w:w="121"/>
        <w:gridCol w:w="121"/>
        <w:gridCol w:w="121"/>
        <w:gridCol w:w="234"/>
        <w:gridCol w:w="919"/>
        <w:gridCol w:w="175"/>
      </w:tblGrid>
      <w:tr>
        <w:trPr/>
        <w:tc>
          <w:tcPr>
            <w:tcW w:w="2587"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lease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Straight-lining of rents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incentive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 and real estate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RECONCILIATION OF CASH AND CASH EQUIVALENTS AND RESTRICTED CASH</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393,836 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358,345 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390,305 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Liability for real estate additions, including $79 and $207 for development fees, respectively, due to Vornado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fully depreciated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1.Organization</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Alexander’s, Inc. (NYSE: ALX) is a real estate investment trust (“REIT”), incorporated in Delaware, engaged in leasing, managing, developing and redeveloping its properties. All references to “we,” “us,” “our,” “Company” and “Alexander’s” refer to Alexander’s, Inc. and its consolidated subsidiaries. We are managed by, and our properties are leased and developed by, Vornado Realty Trust (“Vornado”) (NYSE: VNO). We have four properties in New York 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hanging="720"/>
        <w:jc w:val="left"/>
        <w:rPr>
          <w:rFonts w:ascii="Times New Roman;serif" w:hAnsi="Times New Roman;serif"/>
          <w:b/>
          <w:color w:val="000000"/>
          <w:sz w:val="20"/>
        </w:rPr>
      </w:pPr>
      <w:r>
        <w:rPr>
          <w:rFonts w:ascii="Times New Roman;serif" w:hAnsi="Times New Roman;serif"/>
          <w:b/>
          <w:color w:val="000000"/>
          <w:sz w:val="20"/>
        </w:rPr>
        <w:t>2.Basis of Presentation</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unaudited and include the accounts of Alexander’s and its consolidated subsidiaries. All adjustments (which include only normal recurring adjustments) necessary to present fairly the financial position, results of operations and changes in cash flows have been made. Certain information and footnote disclosures normally included in financial statements prepared in accordance with accounting principles generally accepted in the United States of America (“GAAP”) have been condensed or omitted. These consolidated financial statements have been prepared in accordance with the instructions to Form 10-Q of the Securities and Exchange Commission (“SEC”) and should be read in conjunction with the consolidated financial statements and notes thereto included in our Annual Report on Form 10-K for the year ended December 31, 2025, as filed with the SEC.</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made estimates and assumptions that affect the reported amounts of assets and liabilities, disclosure of contingent assets and liabilities at the date of the consolidated financial statements and the reported amounts of revenues and expenses during the reporting periods. Actual results could differ from those estimates. The results of operations for the three and six months ended June 30, 2026 are not necessarily indicative of the operating results for the full year. Certain prior year balances have been reclassified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3.Recently Issued Accounting Literature</w:t>
      </w:r>
    </w:p>
    <w:p>
      <w:pPr>
        <w:pStyle w:val="TextBody"/>
        <w:bidi w:val="0"/>
        <w:spacing w:lineRule="auto" w:line="268" w:before="180" w:after="120"/>
        <w:ind w:left="0" w:right="0" w:firstLine="450"/>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color w:val="000000"/>
        </w:rPr>
        <w:t xml:space="preserve"> </w:t>
      </w:r>
      <w:r>
        <w:rPr>
          <w:rFonts w:ascii="Times New Roman;serif" w:hAnsi="Times New Roman;serif"/>
          <w:b w:val="false"/>
          <w:color w:val="000000"/>
          <w:sz w:val="20"/>
        </w:rPr>
        <w:t xml:space="preserve">(“ASU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 </w:t>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4.Revenue Recognition</w:t>
      </w:r>
    </w:p>
    <w:p>
      <w:pPr>
        <w:pStyle w:val="TextBody"/>
        <w:bidi w:val="0"/>
        <w:spacing w:lineRule="auto" w:line="256"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revenue sources for the three and six months ended June 30, 2026 and 2025.</w:t>
      </w:r>
    </w:p>
    <w:tbl>
      <w:tblPr>
        <w:tblW w:w="9075" w:type="dxa"/>
        <w:jc w:val="center"/>
        <w:tblInd w:w="0" w:type="dxa"/>
        <w:tblLayout w:type="fixed"/>
        <w:tblCellMar>
          <w:top w:w="28" w:type="dxa"/>
          <w:left w:w="28" w:type="dxa"/>
          <w:bottom w:w="28" w:type="dxa"/>
          <w:right w:w="28" w:type="dxa"/>
        </w:tblCellMar>
      </w:tblPr>
      <w:tblGrid>
        <w:gridCol w:w="743"/>
        <w:gridCol w:w="654"/>
        <w:gridCol w:w="658"/>
        <w:gridCol w:w="109"/>
        <w:gridCol w:w="109"/>
        <w:gridCol w:w="109"/>
        <w:gridCol w:w="287"/>
        <w:gridCol w:w="983"/>
        <w:gridCol w:w="148"/>
        <w:gridCol w:w="148"/>
        <w:gridCol w:w="148"/>
        <w:gridCol w:w="148"/>
        <w:gridCol w:w="287"/>
        <w:gridCol w:w="983"/>
        <w:gridCol w:w="148"/>
        <w:gridCol w:w="109"/>
        <w:gridCol w:w="109"/>
        <w:gridCol w:w="109"/>
        <w:gridCol w:w="244"/>
        <w:gridCol w:w="958"/>
        <w:gridCol w:w="126"/>
        <w:gridCol w:w="126"/>
        <w:gridCol w:w="126"/>
        <w:gridCol w:w="126"/>
        <w:gridCol w:w="244"/>
        <w:gridCol w:w="958"/>
        <w:gridCol w:w="17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51,589 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108,123 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106,504 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lease revenues for the three and six months ended June 30, 2026 and 2025 are as follows:</w:t>
      </w:r>
    </w:p>
    <w:tbl>
      <w:tblPr>
        <w:tblW w:w="9075" w:type="dxa"/>
        <w:jc w:val="center"/>
        <w:tblInd w:w="0" w:type="dxa"/>
        <w:tblLayout w:type="fixed"/>
        <w:tblCellMar>
          <w:top w:w="28" w:type="dxa"/>
          <w:left w:w="28" w:type="dxa"/>
          <w:bottom w:w="28" w:type="dxa"/>
          <w:right w:w="28" w:type="dxa"/>
        </w:tblCellMar>
      </w:tblPr>
      <w:tblGrid>
        <w:gridCol w:w="743"/>
        <w:gridCol w:w="654"/>
        <w:gridCol w:w="658"/>
        <w:gridCol w:w="109"/>
        <w:gridCol w:w="109"/>
        <w:gridCol w:w="109"/>
        <w:gridCol w:w="287"/>
        <w:gridCol w:w="983"/>
        <w:gridCol w:w="148"/>
        <w:gridCol w:w="148"/>
        <w:gridCol w:w="148"/>
        <w:gridCol w:w="148"/>
        <w:gridCol w:w="287"/>
        <w:gridCol w:w="983"/>
        <w:gridCol w:w="148"/>
        <w:gridCol w:w="109"/>
        <w:gridCol w:w="109"/>
        <w:gridCol w:w="109"/>
        <w:gridCol w:w="244"/>
        <w:gridCol w:w="958"/>
        <w:gridCol w:w="126"/>
        <w:gridCol w:w="126"/>
        <w:gridCol w:w="126"/>
        <w:gridCol w:w="126"/>
        <w:gridCol w:w="244"/>
        <w:gridCol w:w="958"/>
        <w:gridCol w:w="17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Bloomberg L.P. (“Bloomberg”) leases approximately 952,000 square feet at our 731 Lexington Avenue property and accounted for revenue of $65,229,000 and $64,446,000 for the six months ended June 30, 2026 and 2025, respectively, representing approximately 60% and 61% of our rental revenues in each period, respectively. No other tenant accounted for more than 10% of our rental revenues. If we were to lose Bloomberg as a tenant, or if Bloomberg were to be unable to fulfill its obligations under its lease, it would adversely affect our results of operations and financial condition. In order to assist us in our continuing assessment of Bloomberg’s creditworthiness, we receive certain confidential financial information and metrics from Bloomberg. In addition, we access and evaluate financial information regarding Bloomberg from other private sources, as well as publicly available data.</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2024, Alexander’s and Bloomberg entered into an agreement to extend Bloomberg’s leases that were scheduled to expire in February 2029 for a term of eleven years to February 2040. In connection with the lease extension, Bloomberg was entitled to a $113,618,000 tenant fund which is accounted for as a lease incentive under GAAP. Accordingly, there was an initial deferred lease incentive asset of $113,618,000, which is amortized as a reduction to rental revenues over the remaining term of the lease, and a corresponding liability. These amounts are included in “Deferred leasing costs, net” and “Lease incentive liability,” on our consolidated balance sheets. On March 31, 2026, Alexander’s and Bloomberg entered into a lease amendment providing Bloomberg with a rent abatement of $56,809,000 for the period of April 1, 2026 to December 1, 2026, which reduces the tenant fund by a corresponding amount over that period from $113,618,000 to $56,809,000.</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26, 2026, we entered into a lease modification agreement with a 135,000 square foot tenant at our Rego Park shopping center providing options for us and the tenant to early terminate the lease in August 2026, subject to a payment of approximately $29,000,000 from the tenant. Simultaneously, we entered into a 15-year lease, plus renewal options, with Target for that space.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5.Real Estate Sale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On May 28, 2026, we completed the sale of our Rego Park I property, located in Queens, New York, for $235,500,000, with total</w:t>
      </w:r>
      <w:r>
        <w:rPr>
          <w:color w:val="EE2724"/>
        </w:rPr>
        <w:t xml:space="preserve"> </w:t>
      </w:r>
      <w:r>
        <w:rPr>
          <w:rFonts w:ascii="Times New Roman;serif" w:hAnsi="Times New Roman;serif"/>
          <w:b w:val="false"/>
          <w:color w:val="000000"/>
          <w:sz w:val="20"/>
        </w:rPr>
        <w:t xml:space="preserve">proceeds of $202,750,000, net of costs, and a financial statement gain of $148,002,000. </w:t>
      </w:r>
    </w:p>
    <w:p>
      <w:pPr>
        <w:pStyle w:val="TextBody"/>
        <w:bidi w:val="0"/>
        <w:spacing w:before="180" w:after="283"/>
        <w:ind w:left="0" w:right="0" w:firstLine="450"/>
        <w:jc w:val="both"/>
        <w:rPr/>
      </w:pPr>
      <w:r>
        <w:rPr/>
      </w:r>
    </w:p>
    <w:p>
      <w:pPr>
        <w:pStyle w:val="TextBody"/>
        <w:bidi w:val="0"/>
        <w:spacing w:before="180" w:after="283"/>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180" w:after="283"/>
        <w:ind w:left="0" w:right="0" w:hanging="720"/>
        <w:jc w:val="left"/>
        <w:rPr/>
      </w:pPr>
      <w:r>
        <w:rPr>
          <w:rFonts w:ascii="Times New Roman;serif" w:hAnsi="Times New Roman;serif"/>
          <w:b/>
          <w:color w:val="000000"/>
          <w:sz w:val="20"/>
          <w:shd w:fill="FFFFFF" w:val="clear"/>
        </w:rPr>
        <w:t>6.</w:t>
      </w:r>
      <w:r>
        <w:rPr>
          <w:rFonts w:ascii="Times New Roman;serif" w:hAnsi="Times New Roman;serif"/>
          <w:b/>
          <w:color w:val="000000"/>
          <w:sz w:val="20"/>
        </w:rPr>
        <w:t xml:space="preserve">Related Party </w:t>
      </w:r>
      <w:r>
        <w:rPr>
          <w:rFonts w:ascii="Times New Roman;serif" w:hAnsi="Times New Roman;serif"/>
          <w:b/>
          <w:color w:val="000000"/>
          <w:sz w:val="20"/>
          <w:shd w:fill="FFFFFF" w:val="clear"/>
        </w:rPr>
        <w:t>Transactions</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Vornado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Vornado owned 32.4% of our outstanding common stock. We are managed by, and our properties are leased and developed by, Vornado, pursuant to the agreements described below, which expire in March of each year and are automatically renewable.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Management and Development Agreements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pay Vornado an annual management fee equal to the sum of (i) $2,800,000, (ii) 2% of gross revenue from the Rego Park shopping center, (iii) $0.50 per square foot of the tenant-occupied office and retail space at 731 Lexington Avenue, and (iv) $399,000, escalating at 3% per annum, for managing the common area of 731 Lexington Avenue. Vornado is also entitled to a development fee equal to 6% of development costs, as defined.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Leasing and Other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Vornado also provides us with leasing services for a fee of 3% of rent for the first ten years of a lease term, 2% of rent for the eleventh through the twentieth year of a lease term, and 1% of rent for the twenty-first through thirtieth year of a lease term, subject to the payment of rents by tenants. In the event third-party real estate brokers are used, the Company is responsible for any third-party lease commissions and Vornado’s fee is one-third of the applicable third-party lease commission.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Vornado is also entitled to a commission upon the sale of any of our assets equal to 3% of gross proceeds, as defined, for asset sales less than $50,000,000 and 1% of gross proceeds, as defined, for asset sales of $50,000,000 or more (the “Sales Commission Agreement”). Pursuant to the Sales Commission Agreement, we paid a $2,355,000 sales commission to Vornado in the second quarter of 2026 related to the sale of our Rego Park I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have agreements with Building Maintenance Services LLC, a wholly owned subsidiary of Vornado, to supervise (i) cleaning, engineering and security services at our 731 Lexington Avenue property and (ii) security services at our Rego Park shopping center and The Alexander apartment tower. In addition, we have an agreement with a wholly owned subsidiary of Vornado to manage the parking garage at our Rego Park shopping center.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fees earned by Vornado under the various agreements discussed above.</w:t>
      </w:r>
    </w:p>
    <w:tbl>
      <w:tblPr>
        <w:tblW w:w="10205" w:type="dxa"/>
        <w:jc w:val="left"/>
        <w:tblInd w:w="0" w:type="dxa"/>
        <w:tblLayout w:type="fixed"/>
        <w:tblCellMar>
          <w:top w:w="28" w:type="dxa"/>
          <w:left w:w="28" w:type="dxa"/>
          <w:bottom w:w="28" w:type="dxa"/>
          <w:right w:w="28" w:type="dxa"/>
        </w:tblCellMar>
      </w:tblPr>
      <w:tblGrid>
        <w:gridCol w:w="1504"/>
        <w:gridCol w:w="1227"/>
        <w:gridCol w:w="1236"/>
        <w:gridCol w:w="109"/>
        <w:gridCol w:w="109"/>
        <w:gridCol w:w="109"/>
        <w:gridCol w:w="272"/>
        <w:gridCol w:w="795"/>
        <w:gridCol w:w="140"/>
        <w:gridCol w:w="140"/>
        <w:gridCol w:w="140"/>
        <w:gridCol w:w="140"/>
        <w:gridCol w:w="272"/>
        <w:gridCol w:w="795"/>
        <w:gridCol w:w="140"/>
        <w:gridCol w:w="109"/>
        <w:gridCol w:w="109"/>
        <w:gridCol w:w="109"/>
        <w:gridCol w:w="257"/>
        <w:gridCol w:w="753"/>
        <w:gridCol w:w="133"/>
        <w:gridCol w:w="133"/>
        <w:gridCol w:w="133"/>
        <w:gridCol w:w="133"/>
        <w:gridCol w:w="257"/>
        <w:gridCol w:w="753"/>
        <w:gridCol w:w="198"/>
      </w:tblGrid>
      <w:tr>
        <w:trPr/>
        <w:tc>
          <w:tcPr>
            <w:tcW w:w="150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cleaning, engineering, parking and security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amounts due to Vornado were </w:t>
      </w:r>
      <w:r>
        <w:rPr>
          <w:rFonts w:ascii="Times New Roman;serif" w:hAnsi="Times New Roman;serif"/>
          <w:b w:val="false"/>
          <w:color w:val="000000"/>
          <w:sz w:val="20"/>
        </w:rPr>
        <w:t>$492,000</w:t>
      </w:r>
      <w:r>
        <w:rPr>
          <w:color w:val="000000"/>
          <w:shd w:fill="FFFFFF" w:val="clear"/>
        </w:rPr>
        <w:t xml:space="preserve"> </w:t>
      </w:r>
      <w:r>
        <w:rPr>
          <w:rFonts w:ascii="Times New Roman;serif" w:hAnsi="Times New Roman;serif"/>
          <w:b w:val="false"/>
          <w:color w:val="000000"/>
          <w:sz w:val="20"/>
          <w:shd w:fill="FFFFFF" w:val="clear"/>
        </w:rPr>
        <w:t xml:space="preserve">for leasing fees, </w:t>
      </w:r>
      <w:r>
        <w:rPr>
          <w:rFonts w:ascii="Times New Roman;serif" w:hAnsi="Times New Roman;serif"/>
          <w:b w:val="false"/>
          <w:color w:val="000000"/>
          <w:sz w:val="20"/>
        </w:rPr>
        <w:t>$473,000</w:t>
      </w:r>
      <w:r>
        <w:rPr>
          <w:color w:val="000000"/>
          <w:shd w:fill="FFFFFF" w:val="clear"/>
        </w:rPr>
        <w:t xml:space="preserve"> </w:t>
      </w:r>
      <w:r>
        <w:rPr>
          <w:rFonts w:ascii="Times New Roman;serif" w:hAnsi="Times New Roman;serif"/>
          <w:b w:val="false"/>
          <w:color w:val="000000"/>
          <w:sz w:val="20"/>
          <w:shd w:fill="FFFFFF" w:val="clear"/>
        </w:rPr>
        <w:t xml:space="preserve">for management, property management, cleaning, engineering and security fees and </w:t>
      </w:r>
      <w:r>
        <w:rPr>
          <w:rFonts w:ascii="Times New Roman;serif" w:hAnsi="Times New Roman;serif"/>
          <w:b w:val="false"/>
          <w:color w:val="000000"/>
          <w:sz w:val="20"/>
        </w:rPr>
        <w:t>$79,000</w:t>
      </w:r>
      <w:r>
        <w:rPr>
          <w:color w:val="000000"/>
          <w:shd w:fill="FFFFFF" w:val="clear"/>
        </w:rPr>
        <w:t xml:space="preserve"> </w:t>
      </w:r>
      <w:r>
        <w:rPr>
          <w:rFonts w:ascii="Times New Roman;serif" w:hAnsi="Times New Roman;serif"/>
          <w:b w:val="false"/>
          <w:color w:val="000000"/>
          <w:sz w:val="20"/>
          <w:shd w:fill="FFFFFF" w:val="clear"/>
        </w:rPr>
        <w:t>for development fees. As</w:t>
      </w:r>
      <w:r>
        <w:rPr>
          <w:color w:val="000000"/>
        </w:rPr>
        <w:t xml:space="preserve"> </w:t>
      </w:r>
      <w:r>
        <w:rPr>
          <w:rFonts w:ascii="Times New Roman;serif" w:hAnsi="Times New Roman;serif"/>
          <w:b w:val="false"/>
          <w:color w:val="000000"/>
          <w:sz w:val="20"/>
        </w:rPr>
        <w:t>of December 31, 2025, the amounts due to Vornado were $100,000 for leasing fees and $34,000 for development fees.</w:t>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7.Mortgages Payable</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outstanding mortgages payable as of June 30, 2026 and December 31, 2025. We may refinance our maturing debt as it comes due or choose to pay it down.</w:t>
      </w:r>
    </w:p>
    <w:tbl>
      <w:tblPr>
        <w:tblW w:w="10205" w:type="dxa"/>
        <w:jc w:val="left"/>
        <w:tblInd w:w="0" w:type="dxa"/>
        <w:tblLayout w:type="fixed"/>
        <w:tblCellMar>
          <w:top w:w="28" w:type="dxa"/>
          <w:left w:w="28" w:type="dxa"/>
          <w:bottom w:w="28" w:type="dxa"/>
          <w:right w:w="28" w:type="dxa"/>
        </w:tblCellMar>
      </w:tblPr>
      <w:tblGrid>
        <w:gridCol w:w="1592"/>
        <w:gridCol w:w="1095"/>
        <w:gridCol w:w="1101"/>
        <w:gridCol w:w="109"/>
        <w:gridCol w:w="109"/>
        <w:gridCol w:w="109"/>
        <w:gridCol w:w="335"/>
        <w:gridCol w:w="335"/>
        <w:gridCol w:w="337"/>
        <w:gridCol w:w="109"/>
        <w:gridCol w:w="109"/>
        <w:gridCol w:w="109"/>
        <w:gridCol w:w="469"/>
        <w:gridCol w:w="469"/>
        <w:gridCol w:w="471"/>
        <w:gridCol w:w="109"/>
        <w:gridCol w:w="109"/>
        <w:gridCol w:w="109"/>
        <w:gridCol w:w="219"/>
        <w:gridCol w:w="858"/>
        <w:gridCol w:w="113"/>
        <w:gridCol w:w="109"/>
        <w:gridCol w:w="109"/>
        <w:gridCol w:w="109"/>
        <w:gridCol w:w="234"/>
        <w:gridCol w:w="917"/>
        <w:gridCol w:w="352"/>
      </w:tblGrid>
      <w:tr>
        <w:trPr/>
        <w:tc>
          <w:tcPr>
            <w:tcW w:w="159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mortgages secured 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731 Lexington Avenue, office condominium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 09,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Rego Park shopping center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05,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731 Lexington Avenue, retail condominium</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23,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167,691 </w:t>
            </w:r>
          </w:p>
        </w:tc>
        <w:tc>
          <w:tcPr>
            <w:tcW w:w="35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Alexander apartment tower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 01,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836,691 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 net of accumulated amortization of $6,551 and $5,263,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8"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834,572 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829,451 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(1)Interest rate listed represents the rate in effect as of June 30, 2026 based on SOFR as of contractual reset date plus contractual spread, adjusted for hedging instruments as applicable.</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(2)Interest at SOFR plus 2.00% (SOFR is capped at a rate </w:t>
      </w:r>
      <w:r>
        <w:rPr>
          <w:rFonts w:ascii="Times New Roman;serif" w:hAnsi="Times New Roman;serif"/>
          <w:b w:val="false"/>
          <w:color w:val="000000"/>
          <w:sz w:val="18"/>
          <w:shd w:fill="FFFFFF" w:val="clear"/>
        </w:rPr>
        <w:t>of 4.50% thr</w:t>
      </w:r>
      <w:r>
        <w:rPr>
          <w:rFonts w:ascii="Times New Roman;serif" w:hAnsi="Times New Roman;serif"/>
          <w:b w:val="false"/>
          <w:color w:val="000000"/>
          <w:sz w:val="18"/>
        </w:rPr>
        <w:t>ough December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(3)Includes PIK interest of $4,022 and $191 as of June 30, 2026 and December 31, 2025, respectively. See below for further discussion.</w:t>
      </w:r>
    </w:p>
    <w:p>
      <w:pPr>
        <w:pStyle w:val="TextBody"/>
        <w:bidi w:val="0"/>
        <w:spacing w:before="0" w:after="0"/>
        <w:jc w:val="left"/>
        <w:rPr/>
      </w:pPr>
      <w:r>
        <w:rPr/>
      </w:r>
    </w:p>
    <w:p>
      <w:pPr>
        <w:pStyle w:val="TextBody"/>
        <w:bidi w:val="0"/>
        <w:spacing w:lineRule="auto" w:line="25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retail portion of 731 Lexington Avenue is encumbered by a mortgage loan of $300,000,000 which matures in December 2035. The loan was initially split into (i) a $132,500,000 senior A-Note held by a wholly owned subsidiary of Alexander’s, which bears interest at a fixed rate of 7.00% and (ii) a $167,500,000 junior C-Note held by third party lenders, which accrues PIK interest at 4.55%. In addition, Alexander’s funds operating shortfalls, interest on the A-Note and capital for re-leasing at the property through a B-Note, which is junior to the A-Note and senior to the C-Note. The B-Note bears interest at a fixed rate of 13.50%, except for loan amounts above $65,000,000 used to pay interest on the A-Note, which will bear interest at a fixed rate of 7.00%. As of June 30, 2026, the B-Note balance is approximately $1,307,000.</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future net sales or refinancing proceeds will be distributed through the payment waterfall per the terms of the loan agreement. If such proceeds (or appraised value in such refinancing) are insufficient to cover the C-Note loan balance, any outstanding C-Note indebtedness that remains unpaid shall be forgiven. Since the debt balances related to the A-Note and B-Note are eliminated in consolidation, the balances presented as mortgages payable for this loan on our consolidated balance sheets are comprised of the principal balance of the C-Note and the PIK interest due upon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8.Stock-Based Compensation</w:t>
      </w:r>
    </w:p>
    <w:p>
      <w:pPr>
        <w:pStyle w:val="TextBody"/>
        <w:bidi w:val="0"/>
        <w:spacing w:lineRule="auto" w:line="256"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stock-based compensation in accordance with Accounting Standards Codification (“ASC”) Topic 718, Compensation – Stock Compensation (“ASC 718”). Our Board of Directors and stockholders approved the Alexander’s, Inc. 2026 Omnibus Stock Plan (the “2026 Plan”), effective as of May 21, 2026, which serves as the successor to our 2016 Omnibus Stock Plan (the “2016 Plan”) and provides for the issuance of incentive and non-qualified stock options, restricted stock, stock appreciation rights, deferred stock units (“DSUs”) and performance shares to the directors, officers and employees of the Company and Vornado. No additional awards will be made under the 2016 Plan, but the terms and conditions of any outstanding awards granted under the 2016 Plan will not be affected. Shares subject to an award that expires unexercised, or that are forfeited, terminated or canceled, in whole or in part, will again be available for grant under the 2026 Plan. </w:t>
      </w:r>
    </w:p>
    <w:p>
      <w:pPr>
        <w:pStyle w:val="TextBody"/>
        <w:bidi w:val="0"/>
        <w:spacing w:lineRule="auto" w:line="256"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2026, we granted each of the members of our Board of Directors 505 DSUs with a market value of $125,000 per grant. The grant date fair value of these awards was $93,750 per grant, or $656,000 in the aggregate, in accordance with ASC 718. The DSUs entitle the holders to receive shares of the Company’s common stock without payment of any consideration. The DSUs vested immediately and, accordingly, were expensed on the date of grant, but the shares of common stock underlying the DSUs are not deliverable to the grantee until the grantee is no longer serving on the Company’s Board of Directors or until a later date selected by the grantee. As of June 30, 2026, there were 3,535 DSUs outstanding and 496,465 shares were available for future grant under the 2026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18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9.Fair Value Measurements</w:t>
      </w:r>
    </w:p>
    <w:p>
      <w:pPr>
        <w:pStyle w:val="TextBody"/>
        <w:bidi w:val="0"/>
        <w:spacing w:lineRule="auto" w:line="256" w:before="120" w:after="283"/>
        <w:ind w:left="0" w:right="0" w:firstLine="450"/>
        <w:jc w:val="both"/>
        <w:rPr/>
      </w:pPr>
      <w:r>
        <w:rPr>
          <w:rFonts w:ascii="Times New Roman;serif" w:hAnsi="Times New Roman;serif"/>
          <w:b w:val="false"/>
          <w:color w:val="000000"/>
          <w:sz w:val="20"/>
        </w:rPr>
        <w:t xml:space="preserve">Accounting Standards Codification (“ASC”)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defines fair value and establishes a framework for measuring fair value. ASC 820 establishes a fair value hierarchy that prioritizes observable and unobservable inputs used to measure fair value into three levels: Level 1 – quoted prices (unadjusted) in active markets that are accessible at the measurement date for assets or liabilities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Financial Assets and Liabilities Measured at Fair Value</w:t>
      </w:r>
    </w:p>
    <w:p>
      <w:pPr>
        <w:pStyle w:val="TextBody"/>
        <w:bidi w:val="0"/>
        <w:spacing w:lineRule="auto" w:line="256"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assets measured at fair value on our consolidated balance sheets consisted of an interest rate cap, which is presented in the tables below based on its level in the fair value hierarchy. There were no financial liabilities measured at fair value as of June 30, 2026 and December 31, 2025. </w:t>
      </w:r>
    </w:p>
    <w:tbl>
      <w:tblPr>
        <w:tblW w:w="7707" w:type="dxa"/>
        <w:jc w:val="left"/>
        <w:tblInd w:w="0" w:type="dxa"/>
        <w:tblLayout w:type="fixed"/>
        <w:tblCellMar>
          <w:top w:w="28" w:type="dxa"/>
          <w:left w:w="28" w:type="dxa"/>
          <w:bottom w:w="28" w:type="dxa"/>
          <w:right w:w="28" w:type="dxa"/>
        </w:tblCellMar>
      </w:tblPr>
      <w:tblGrid>
        <w:gridCol w:w="1253"/>
        <w:gridCol w:w="1103"/>
        <w:gridCol w:w="1109"/>
        <w:gridCol w:w="109"/>
        <w:gridCol w:w="109"/>
        <w:gridCol w:w="109"/>
        <w:gridCol w:w="211"/>
        <w:gridCol w:w="361"/>
        <w:gridCol w:w="109"/>
        <w:gridCol w:w="109"/>
        <w:gridCol w:w="109"/>
        <w:gridCol w:w="109"/>
        <w:gridCol w:w="213"/>
        <w:gridCol w:w="411"/>
        <w:gridCol w:w="112"/>
        <w:gridCol w:w="109"/>
        <w:gridCol w:w="109"/>
        <w:gridCol w:w="109"/>
        <w:gridCol w:w="228"/>
        <w:gridCol w:w="390"/>
        <w:gridCol w:w="118"/>
        <w:gridCol w:w="109"/>
        <w:gridCol w:w="109"/>
        <w:gridCol w:w="109"/>
        <w:gridCol w:w="213"/>
        <w:gridCol w:w="411"/>
        <w:gridCol w:w="157"/>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02" w:type="dxa"/>
        <w:jc w:val="left"/>
        <w:tblInd w:w="0" w:type="dxa"/>
        <w:tblLayout w:type="fixed"/>
        <w:tblCellMar>
          <w:top w:w="28" w:type="dxa"/>
          <w:left w:w="28" w:type="dxa"/>
          <w:bottom w:w="28" w:type="dxa"/>
          <w:right w:w="28" w:type="dxa"/>
        </w:tblCellMar>
      </w:tblPr>
      <w:tblGrid>
        <w:gridCol w:w="1253"/>
        <w:gridCol w:w="1103"/>
        <w:gridCol w:w="1109"/>
        <w:gridCol w:w="109"/>
        <w:gridCol w:w="109"/>
        <w:gridCol w:w="109"/>
        <w:gridCol w:w="211"/>
        <w:gridCol w:w="256"/>
        <w:gridCol w:w="109"/>
        <w:gridCol w:w="109"/>
        <w:gridCol w:w="109"/>
        <w:gridCol w:w="109"/>
        <w:gridCol w:w="213"/>
        <w:gridCol w:w="411"/>
        <w:gridCol w:w="112"/>
        <w:gridCol w:w="109"/>
        <w:gridCol w:w="109"/>
        <w:gridCol w:w="109"/>
        <w:gridCol w:w="269"/>
        <w:gridCol w:w="327"/>
        <w:gridCol w:w="140"/>
        <w:gridCol w:w="109"/>
        <w:gridCol w:w="109"/>
        <w:gridCol w:w="109"/>
        <w:gridCol w:w="213"/>
        <w:gridCol w:w="411"/>
        <w:gridCol w:w="157"/>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Rate Derivatives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the fair value of all interest rate derivatives in “other assets” or “other liabilities” on our consolidated balance sheets and since our interest rate derivative has been designated as a cash flow hedge, changes in the fair value are recognized in other comprehensive income. The table below summarizes our interest rate derivative, which hedges the interest rate risk attributable to the variable rate debt noted as of June 30, 2026 and December 31, 2025, respectively.</w:t>
      </w:r>
    </w:p>
    <w:tbl>
      <w:tblPr>
        <w:tblW w:w="10205" w:type="dxa"/>
        <w:jc w:val="left"/>
        <w:tblInd w:w="0" w:type="dxa"/>
        <w:tblLayout w:type="fixed"/>
        <w:tblCellMar>
          <w:top w:w="28" w:type="dxa"/>
          <w:left w:w="28" w:type="dxa"/>
          <w:bottom w:w="28" w:type="dxa"/>
          <w:right w:w="28" w:type="dxa"/>
        </w:tblCellMar>
      </w:tblPr>
      <w:tblGrid>
        <w:gridCol w:w="164"/>
        <w:gridCol w:w="144"/>
        <w:gridCol w:w="144"/>
        <w:gridCol w:w="144"/>
        <w:gridCol w:w="144"/>
        <w:gridCol w:w="144"/>
        <w:gridCol w:w="720"/>
        <w:gridCol w:w="720"/>
        <w:gridCol w:w="723"/>
        <w:gridCol w:w="109"/>
        <w:gridCol w:w="109"/>
        <w:gridCol w:w="109"/>
        <w:gridCol w:w="273"/>
        <w:gridCol w:w="467"/>
        <w:gridCol w:w="141"/>
        <w:gridCol w:w="109"/>
        <w:gridCol w:w="109"/>
        <w:gridCol w:w="109"/>
        <w:gridCol w:w="447"/>
        <w:gridCol w:w="542"/>
        <w:gridCol w:w="230"/>
        <w:gridCol w:w="109"/>
        <w:gridCol w:w="109"/>
        <w:gridCol w:w="109"/>
        <w:gridCol w:w="236"/>
        <w:gridCol w:w="927"/>
        <w:gridCol w:w="122"/>
        <w:gridCol w:w="109"/>
        <w:gridCol w:w="109"/>
        <w:gridCol w:w="109"/>
        <w:gridCol w:w="298"/>
        <w:gridCol w:w="298"/>
        <w:gridCol w:w="300"/>
        <w:gridCol w:w="109"/>
        <w:gridCol w:w="109"/>
        <w:gridCol w:w="109"/>
        <w:gridCol w:w="359"/>
        <w:gridCol w:w="359"/>
        <w:gridCol w:w="524"/>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Capped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45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569" w:type="dxa"/>
            <w:gridSpan w:val="6"/>
            <w:tcBorders/>
          </w:tcPr>
          <w:p>
            <w:pPr>
              <w:pStyle w:val="TableContents"/>
              <w:bidi w:val="0"/>
              <w:spacing w:before="0" w:after="283"/>
              <w:jc w:val="left"/>
              <w:rPr>
                <w:sz w:val="4"/>
                <w:szCs w:val="4"/>
              </w:rPr>
            </w:pPr>
            <w:r>
              <w:rPr>
                <w:sz w:val="4"/>
                <w:szCs w:val="4"/>
              </w:rPr>
            </w:r>
          </w:p>
        </w:tc>
      </w:tr>
      <w:tr>
        <w:trPr/>
        <w:tc>
          <w:tcPr>
            <w:tcW w:w="45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Rego Park shopping center mortgage loan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12/26</w:t>
            </w:r>
          </w:p>
        </w:tc>
      </w:tr>
      <w:tr>
        <w:trPr/>
        <w:tc>
          <w:tcPr>
            <w:tcW w:w="45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(1)SOFR cap strike rate of 4.50%.</w:t>
      </w:r>
    </w:p>
    <w:p>
      <w:pPr>
        <w:pStyle w:val="TextBody"/>
        <w:bidi w:val="0"/>
        <w:spacing w:lineRule="auto" w:line="288" w:before="180" w:after="283"/>
        <w:ind w:left="0" w:right="0" w:hanging="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Financial Assets and Liabilities not Measured at Fair Value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not measured at fair value on our consolidated balance sheets include cash equivalents and mortgages payable. Cash equivalents are carried at cost, which approximates fair value due to their short-term maturities and are classified as Level 1. The fair value of our mortgages payable is calculated by discounting the future contractual cash flows of these instruments using current risk-adjusted rates available to borrowers with similar credit ratings, which are provided by a third-party specialist, and is classified as Level 2. The table below summarizes the carrying amount and fair value of these financial instruments as of June 30, 2026 and December 31, 2025, respectively.</w:t>
      </w:r>
    </w:p>
    <w:p>
      <w:pPr>
        <w:pStyle w:val="TextBody"/>
        <w:bidi w:val="0"/>
        <w:spacing w:before="0" w:after="0"/>
        <w:ind w:left="0" w:right="0" w:firstLine="495"/>
        <w:jc w:val="both"/>
        <w:rPr/>
      </w:pPr>
      <w:r>
        <w:rPr/>
      </w:r>
    </w:p>
    <w:tbl>
      <w:tblPr>
        <w:tblW w:w="10888" w:type="dxa"/>
        <w:jc w:val="left"/>
        <w:tblInd w:w="0" w:type="dxa"/>
        <w:tblLayout w:type="fixed"/>
        <w:tblCellMar>
          <w:top w:w="28" w:type="dxa"/>
          <w:left w:w="28" w:type="dxa"/>
          <w:bottom w:w="28" w:type="dxa"/>
          <w:right w:w="28" w:type="dxa"/>
        </w:tblCellMar>
      </w:tblPr>
      <w:tblGrid>
        <w:gridCol w:w="2579"/>
        <w:gridCol w:w="1319"/>
        <w:gridCol w:w="105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257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Mortgages payable (excluding deferred debt issuance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788,814 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836,691 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12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10.Commitments and Contingencies</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Insurance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general liability insurance with limits of $300,000,000 per occurrence and per property, which includes communicable disease coverage, and all-risk property and rental value insurance coverage with limits of $1.7 billion per occurrence, including coverage for acts of terrorism, with sub-limits for certain perils such as floods and earthquakes on each of our properties and excluding communicable disease coverage.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Fifty Ninth Street Insurance Company, LLC (“FNSIC”), our wholly owned consolidated subsidiary, acts as a direct insurer for coverage for acts of terrorism, including nuclear, biological, chemical and radiological (“NBCR”) acts, as defined by the Terrorism Risk Insurance Act of 2002, as amended to date and which has been extended through December 2027. Coverage for acts of terrorism (including NBCR acts) is up to $1.7 billion per occurrence and in the aggregate. Coverage for acts of terrorism (excluding NBCR acts) is fully reinsured by third party insurance companies and the Federal government with no exposure to FNSIC. For NBCR acts, FNSIC is responsible for a deductible of $348,000 and 20% of the balance of a covered loss, and the Federal government is responsible for the remaining 80% of a covered loss. We are ultimately responsible for any loss incurred by FNSIC.</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state of the insurance market and the scope and costs of coverage for acts of terrorism or other events. However, we cannot anticipate what coverage will be available on commercially reasonable terms in the future. We are responsible for uninsured losses and for deductibles and losses in excess of our insurance coverage, which could be material.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loans contain customary covenants requiring us to maintain insurance. Although we believe that we have adequate insurance coverage for purposes of these agreements, we may not be able to obtain an equivalent amount of coverage at reasonable costs in the future. If lenders insist on greater coverage than we are able to obtain, it could adversely affect our ability to finance or refinance our properties.</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p>
      <w:pPr>
        <w:pStyle w:val="TextBody"/>
        <w:bidi w:val="0"/>
        <w:spacing w:lineRule="auto" w:line="288" w:before="12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are various legal actions brought against us from time-to-time in the ordinary course of business. In our opinion, the outcome of such pending matters in the aggregate will not have a material effect on our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11.Earnings Per Share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income per share, including the number of shares used in computing basic and diluted income per share. Basic income per share is determined using the weighted average shares of common stock (including deferred stock units) outstanding during the period. Diluted income per share is determined using the weighted average shares of common stock (including deferred stock units) outstanding during the period, and assumes all potentially dilutive securities were converted into common shares at the earliest date possible. There were no potentially dilutive securities outstanding during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502"/>
        <w:gridCol w:w="1073"/>
        <w:gridCol w:w="1077"/>
        <w:gridCol w:w="109"/>
        <w:gridCol w:w="109"/>
        <w:gridCol w:w="109"/>
        <w:gridCol w:w="257"/>
        <w:gridCol w:w="1009"/>
        <w:gridCol w:w="132"/>
        <w:gridCol w:w="132"/>
        <w:gridCol w:w="132"/>
        <w:gridCol w:w="132"/>
        <w:gridCol w:w="287"/>
        <w:gridCol w:w="781"/>
        <w:gridCol w:w="132"/>
        <w:gridCol w:w="109"/>
        <w:gridCol w:w="109"/>
        <w:gridCol w:w="109"/>
        <w:gridCol w:w="237"/>
        <w:gridCol w:w="930"/>
        <w:gridCol w:w="122"/>
        <w:gridCol w:w="122"/>
        <w:gridCol w:w="122"/>
        <w:gridCol w:w="122"/>
        <w:gridCol w:w="254"/>
        <w:gridCol w:w="812"/>
        <w:gridCol w:w="184"/>
      </w:tblGrid>
      <w:tr>
        <w:trPr/>
        <w:tc>
          <w:tcPr>
            <w:tcW w:w="150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6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5,137,549 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5,134,599 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5,134,069 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120"/>
        <w:ind w:left="0" w:right="0" w:hanging="720"/>
        <w:jc w:val="both"/>
        <w:rPr>
          <w:rFonts w:ascii="Times New Roman;serif" w:hAnsi="Times New Roman;serif"/>
          <w:b/>
          <w:color w:val="000000"/>
          <w:sz w:val="20"/>
        </w:rPr>
      </w:pPr>
      <w:r>
        <w:rPr>
          <w:rFonts w:ascii="Times New Roman;serif" w:hAnsi="Times New Roman;serif"/>
          <w:b/>
          <w:color w:val="000000"/>
          <w:sz w:val="20"/>
        </w:rPr>
        <w:t>12.Segment Information</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determined that our properties, which are considered our operating segments, have similar economic characteristics and meet the criteria that permit these operating segments to be aggregated into one reportable segment (the leasing, management, development and redevelopment of properties in New York City). Net operating income (“NOI”) represents total revenues less operating expenses. The Company’s chief operating decision maker ("CODM") is its Chief Executive Officer, who considers NOI to be the financial measure of segment profit and loss for making decisions on how to allocate resources and assessing the performance of the reportable segment. Asset information by segment is not reported as the CODM does not use this measure to assess segment performance or to make resource allocation decisions.</w:t>
      </w:r>
    </w:p>
    <w:p>
      <w:pPr>
        <w:pStyle w:val="TextBody"/>
        <w:bidi w:val="0"/>
        <w:spacing w:lineRule="auto" w:line="288" w:before="12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financial information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00"/>
        <w:gridCol w:w="264"/>
        <w:gridCol w:w="264"/>
        <w:gridCol w:w="705"/>
        <w:gridCol w:w="682"/>
        <w:gridCol w:w="618"/>
        <w:gridCol w:w="121"/>
        <w:gridCol w:w="121"/>
        <w:gridCol w:w="121"/>
        <w:gridCol w:w="292"/>
        <w:gridCol w:w="1001"/>
        <w:gridCol w:w="150"/>
        <w:gridCol w:w="150"/>
        <w:gridCol w:w="150"/>
        <w:gridCol w:w="150"/>
        <w:gridCol w:w="292"/>
        <w:gridCol w:w="1001"/>
        <w:gridCol w:w="150"/>
        <w:gridCol w:w="121"/>
        <w:gridCol w:w="121"/>
        <w:gridCol w:w="121"/>
        <w:gridCol w:w="260"/>
        <w:gridCol w:w="1024"/>
        <w:gridCol w:w="134"/>
        <w:gridCol w:w="134"/>
        <w:gridCol w:w="134"/>
        <w:gridCol w:w="134"/>
        <w:gridCol w:w="260"/>
        <w:gridCol w:w="1024"/>
        <w:gridCol w:w="206"/>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 expense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(51,498)</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NOI</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w:t>
            </w:r>
          </w:p>
        </w:tc>
        <w:tc>
          <w:tcPr>
            <w:tcW w:w="9377"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Includes various expenses associated with operating our properties including but not limited to ground rent, insurance, repairs and maintenance and utilities.</w:t>
            </w:r>
          </w:p>
        </w:tc>
      </w:tr>
    </w:tbl>
    <w:p>
      <w:pPr>
        <w:pStyle w:val="TextBody"/>
        <w:bidi w:val="0"/>
        <w:spacing w:lineRule="auto" w:line="288" w:before="12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NOI to net income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72"/>
        <w:gridCol w:w="327"/>
        <w:gridCol w:w="327"/>
        <w:gridCol w:w="852"/>
        <w:gridCol w:w="841"/>
        <w:gridCol w:w="837"/>
        <w:gridCol w:w="272"/>
        <w:gridCol w:w="1069"/>
        <w:gridCol w:w="140"/>
        <w:gridCol w:w="140"/>
        <w:gridCol w:w="140"/>
        <w:gridCol w:w="140"/>
        <w:gridCol w:w="272"/>
        <w:gridCol w:w="933"/>
        <w:gridCol w:w="140"/>
        <w:gridCol w:w="109"/>
        <w:gridCol w:w="109"/>
        <w:gridCol w:w="109"/>
        <w:gridCol w:w="252"/>
        <w:gridCol w:w="990"/>
        <w:gridCol w:w="130"/>
        <w:gridCol w:w="130"/>
        <w:gridCol w:w="130"/>
        <w:gridCol w:w="130"/>
        <w:gridCol w:w="252"/>
        <w:gridCol w:w="864"/>
        <w:gridCol w:w="198"/>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5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NOI</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debt expense</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real estate</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4"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8"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Alexander’s, Inc.</w:t>
      </w:r>
    </w:p>
    <w:p>
      <w:pPr>
        <w:pStyle w:val="TextBody"/>
        <w:bidi w:val="0"/>
        <w:spacing w:before="1" w:after="283"/>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Review of Interim Financial Information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reviewed the accompanying consolidated balance sheet of Alexander’s, Inc. and subsidiaries (the “Company”) as of June 30, 2026, the related consolidated statements of income, comprehensive income, and changes in equity, for the three and six-month periods ended June 30, 2026 and 2025, and statement of cash flows for the six-month periods ended June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previously audited, in accordance with the standards of the Public Company Accounting Oversight Board (United States) (PCAOB), the consolidated balance sheet of the Company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for Review Results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both"/>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Quarterly Report constitute forward-looking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Quarterly Report on Form 10-Q. We also note the following forward-looking statements: estimates of future rents, estimates of future capital expenditures and estimates of dividends on shares of our common stock. Many of the factors that will determine the outcome of these and our other forward-looking statements are beyond our ability to control or predict. For a further discussion of factors that could materially affect the outcome of our forward-looking statements, see “Item 1A. Risk Factors” in our Annual Report on Form 10-K for the year ended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Quarterly Report on Form 10-Q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Quarterly Report on Form 10-Q.</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include a discussion of our consolidated financial statements for the three and six months ended June 30, 2026. 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The results of operations for the three and six months ended June 30, 2026 are not necessarily indicative of the operating results for the full year.</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Critical Accounting Estimates and Significant Accounting Policies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summary of the critical accounting policies and estimates used in the preparation of our consolidated financial statements is included in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our Annual Report on Form 10-K for the year ended December 31, 2025. For the six months ended June 30, 2026, there were no material changes to these estimates or policies.</w:t>
      </w:r>
    </w:p>
    <w:p>
      <w:pPr>
        <w:pStyle w:val="TextBody"/>
        <w:bidi w:val="0"/>
        <w:spacing w:before="180" w:after="283"/>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pPr>
      <w:r>
        <w:rPr>
          <w:rFonts w:ascii="Times New Roman;serif" w:hAnsi="Times New Roman;serif"/>
          <w:b w:val="false"/>
          <w:color w:val="000000"/>
          <w:sz w:val="20"/>
        </w:rPr>
        <w:t>Alexander’s, Inc. (NYSE: ALX) is a real estate investment trust (“REIT”), incorporated in Delaware, engaged in leasing, managing, developing and redeveloping its properties. All references to “we,” “us,” “our,” “Company” and “Alexander’s” refer to Alexander’s, Inc. and its consolidated subsidiaries. We are managed by, and our properties are leased and developed by, Vornado Realty Trust (“Vornado”) (NYSE: VNO). We hav</w:t>
      </w:r>
      <w:r>
        <w:rPr>
          <w:rFonts w:ascii="Times New Roman;serif" w:hAnsi="Times New Roman;serif"/>
          <w:b w:val="false"/>
          <w:color w:val="000000"/>
          <w:sz w:val="20"/>
          <w:shd w:fill="FFFFFF" w:val="clear"/>
        </w:rPr>
        <w:t xml:space="preserve">e four </w:t>
      </w:r>
      <w:r>
        <w:rPr>
          <w:rFonts w:ascii="Times New Roman;serif" w:hAnsi="Times New Roman;serif"/>
          <w:b w:val="false"/>
          <w:color w:val="000000"/>
          <w:sz w:val="20"/>
        </w:rPr>
        <w:t>properties in New York City.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and local economies, the financial condition and operating results of current and prospective tenants and customers, the availability and cost of capital, construction and renovation costs, taxes, governmental regulations, legislation, population and employment trends, zoning laws, and our ability to lease, sublease or sell our properties, at profitable levels. Our success is also subject to our ability to refinance existing debt on acceptable terms as it comes due.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has been, and may continue to be, affected by interest rate fluctuations, the effects of inflation and other uncertainties including the potential for an economic downturn. These factors could have a material impact on our business, financial condition, results of operations and cash flows. See “Item 1A. Risk Factors” of our Annual Report on Form 10-K for the year ended December 31, 2025 for additional information regarding these and other factors that may materially affect our results.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Quarter Ended June 30, 2026 Financial Results Summary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for the quarter ended June 30, 2026 was $155,362,000, or $30.24 per diluted share, compared to $6,120,000 or $1.19 per diluted share in the prior year’s quarter. Net income for the quarter ended June 30, 2026 included $148,002,000, or $28.81 per diluted share, of income as a result of a net gain from the sale of the Rego Park I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Funds from operations (“FFO”) (non-GAAP) for the quarter ended June 30, 2026 was $15,538,000, or $3.02 per diluted share, compared to $14,762,000 or $2.88 per diluted share in the prior year’s quarter.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Six Months Ended June 30, 2026 Financial Results Summary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for the six months ended June 30, 2026 was $160,024,000, or $31.15 per diluted share, compared to $18,432,000 or $3.59 per diluted share in the prior year’s six months. Net income for the six months ended June 30, 2026 included $148,002,000, or $28.81 per diluted share, of income as a result of a net gain from the sale of the Rego Park I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FFO (non-GAAP) for the six months ended June 30, 2026 was $28,902,000, or $5.63 per diluted share, compared to $35,604,000 or $6.93 per diluted share in the prior year’s six months.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 - continued</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Square Footage, Occupancy and Leasing Activity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portfolio is comprised of four properties aggregating 2,110,000 square feet. As of June 30, 2026, the commercial occupancy rate was 94.6% and the residential occupancy rate was 97.4%.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26, 2026, we entered into a lease modification agreement with a 135,000 square foot tenant at our Rego Park shopping center providing options for us and the tenant to early terminate the lease in August 2026, subject to a payment of approximately $29,000,000 from the tenant. Simultaneously, we entered into a 15-year lease, plus renewal options, with Target for that space.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31, 2025, Home Depot’s 83,000 square foot lease at the retail portion of our 731 Lexington Avenue property expired. Annual rental revenues from Home Depot were approximately $15,000,000.</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Bloomberg L.P. (“Bloomberg”) leases approximately 952,000 square feet at our 731 Lexington Avenue property and accounted for revenue of $65,229,000 and $64,446,000 for the six months ended June 30, 2026 and 2025, respectively, representing approximately 60% and 61% of our rental revenues in each period, respectively. No other tenant accounted for more than 10% of our rental revenues. If we were to lose Bloomberg as a tenant, or if Bloomberg were to be unable to fulfill its obligations under its lease, it would adversely affect our results of operations and financial condition. In order to assist us in our continuing assessment of Bloomberg’s creditworthiness, we receive certain confidential financial information and metrics from Bloomberg. In addition, we access and evaluate financial information regarding Bloomberg from other private sources, as well as publicly available data.</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2024, Alexander’s and Bloomberg entered into an agreement to extend Bloomberg’s leases that were scheduled to expire in February 2029 for a term of eleven years to February 2040. In connection with the lease extension, Bloomberg was entitled to a $113,618,000 tenant fund which is accounted for as a lease incentive under GAAP. Accordingly, there was an initial deferred lease incentive asset of $113,618,000, which is amortized as a reduction to rental revenues over the remaining term of the lease, and a corresponding liability. These amounts are included in “Deferred leasing costs, net” and “Lease incentive liability,” on our consolidated balance sheets. On March 31, 2026, Alexander’s and Bloomberg entered into a lease amendment providing Bloomberg with a rent abatement of $56,809,000 for the period of April 1, 2026 to December 1, 2026, which reduces the tenant fund by a corresponding amount over that period from $113,618,000 to $56,809,000.</w:t>
      </w:r>
    </w:p>
    <w:p>
      <w:pPr>
        <w:pStyle w:val="TextBody"/>
        <w:bidi w:val="0"/>
        <w:spacing w:lineRule="auto" w:line="26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Real Estate Sale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On May 28, 2026, we completed the sale of our Rego Park I property, located in Queens, New York, for $235,500,000, with total</w:t>
      </w:r>
      <w:r>
        <w:rPr>
          <w:color w:val="EE2724"/>
        </w:rPr>
        <w:t xml:space="preserve"> </w:t>
      </w:r>
      <w:r>
        <w:rPr>
          <w:rFonts w:ascii="Times New Roman;serif" w:hAnsi="Times New Roman;serif"/>
          <w:b w:val="false"/>
          <w:color w:val="000000"/>
          <w:sz w:val="20"/>
        </w:rPr>
        <w:t xml:space="preserve">proceeds of $202,750,000, net of costs, and a financial statement gain of $148,002,000. </w:t>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 Three Months Ended June 30, 2026, compared to June 30, 2025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Rental Revenues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Rental revenues w</w:t>
      </w:r>
      <w:r>
        <w:rPr>
          <w:rFonts w:ascii="Times New Roman;serif" w:hAnsi="Times New Roman;serif"/>
          <w:b w:val="false"/>
          <w:color w:val="000000"/>
          <w:sz w:val="20"/>
          <w:shd w:fill="FFFFFF" w:val="clear"/>
        </w:rPr>
        <w:t xml:space="preserve">ere $54,711,000 for the three months ended June 30, 2026, compared to $51,589,000 for the prior year’s three months, an increase of $3,122,000. This was primarily due to (i) $1,699,000 of higher straight-line revenue resulting from a tenant lease modification and $1,501,000 of higher rental revenue from new leases at the Rego Park shopping center, (ii) $1,654,000 of higher operating expense recoveries from higher operating expenses and (iii) $415,000 of higher lease termination fee income, partially offset by (iv) $1,243,000 of lower rental revenue from retail tenant expirations at 731 Lexington Avenue and (v) $1,104,000 of lower rental revenue from lease expirations at Rego Park I.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Operating Expenses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Operating expenses were $26,743,000 for the three months ended June 30, 2026, compared to $25,934,000 for the prior year’s three months, an increase of $809,000</w:t>
      </w:r>
      <w:r>
        <w:rPr>
          <w:rFonts w:ascii="Times New Roman;serif" w:hAnsi="Times New Roman;serif"/>
          <w:b w:val="false"/>
          <w:color w:val="000000"/>
          <w:sz w:val="20"/>
          <w:shd w:fill="FFFFFF" w:val="clear"/>
        </w:rPr>
        <w:t>. This was primarily due to (i) $786,000 of higher operating expenses subject to recovery, including common area maintenance and real estate taxes and (ii) $696,000 of lower capitalized expenses, partially offset by (iii) $879,000 of lower operating expenses at Rego Park I.</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Depreciation and Amortization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was $8,230,000 for the three months ended June 30, 2026, compared to $8,707,000 for the prior year’s three months, a decrease of $477,000. This was primarily due to the cessation of depreciation at Rego Park I that began in the first quarter of 2026 upon classification of the property as held for sale, partially offset by higher depreciation expense on capital costs for new leases at the Rego Park shopping center.</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 Expenses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General and administrative expenses were $3,266,000 for the three months ended June 30, 2026, compared to $1,955,000 for the prior year’s three months, an increase of $1,311,000</w:t>
      </w:r>
      <w:r>
        <w:rPr>
          <w:rFonts w:ascii="Times New Roman;serif" w:hAnsi="Times New Roman;serif"/>
          <w:b w:val="false"/>
          <w:color w:val="000000"/>
          <w:sz w:val="20"/>
          <w:shd w:fill="FFFFFF" w:val="clear"/>
        </w:rPr>
        <w:t>. This was primarily due to $1,062,000 of higher professional fees and $263,000 of higher stock-based compensation expense from an increase in the amount of deferred stock units granted to our Board of Directors in the current year’s quarter.</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Other Income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Interest and other income was $1,684,000</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compared to </w:t>
      </w:r>
      <w:r>
        <w:rPr>
          <w:rFonts w:ascii="Times New Roman;serif" w:hAnsi="Times New Roman;serif"/>
          <w:b w:val="false"/>
          <w:color w:val="000000"/>
          <w:sz w:val="20"/>
        </w:rPr>
        <w:t>$3,928,000</w:t>
      </w:r>
      <w:r>
        <w:rPr>
          <w:color w:val="000000"/>
          <w:shd w:fill="FFFFFF" w:val="clear"/>
        </w:rPr>
        <w:t xml:space="preserve"> </w:t>
      </w:r>
      <w:r>
        <w:rPr>
          <w:rFonts w:ascii="Times New Roman;serif" w:hAnsi="Times New Roman;serif"/>
          <w:b w:val="false"/>
          <w:color w:val="000000"/>
          <w:sz w:val="20"/>
          <w:shd w:fill="FFFFFF" w:val="clear"/>
        </w:rPr>
        <w:t xml:space="preserve">for the prior year’s three months, a decrease of </w:t>
      </w:r>
      <w:r>
        <w:rPr>
          <w:rFonts w:ascii="Times New Roman;serif" w:hAnsi="Times New Roman;serif"/>
          <w:b w:val="false"/>
          <w:color w:val="000000"/>
          <w:sz w:val="20"/>
        </w:rPr>
        <w:t>$2,244,000</w:t>
      </w:r>
      <w:r>
        <w:rPr>
          <w:rFonts w:ascii="Times New Roman;serif" w:hAnsi="Times New Roman;serif"/>
          <w:b w:val="false"/>
          <w:color w:val="000000"/>
          <w:sz w:val="20"/>
          <w:shd w:fill="FFFFFF" w:val="clear"/>
        </w:rPr>
        <w:t>. This was primarily due to a decrease in average investment balances and interest rates.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Debt Expense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Interest and debt exp</w:t>
      </w:r>
      <w:r>
        <w:rPr>
          <w:rFonts w:ascii="Times New Roman;serif" w:hAnsi="Times New Roman;serif"/>
          <w:b w:val="false"/>
          <w:color w:val="000000"/>
          <w:sz w:val="20"/>
          <w:shd w:fill="FFFFFF" w:val="clear"/>
        </w:rPr>
        <w:t xml:space="preserve">ense was </w:t>
      </w:r>
      <w:r>
        <w:rPr>
          <w:rFonts w:ascii="Times New Roman;serif" w:hAnsi="Times New Roman;serif"/>
          <w:b w:val="false"/>
          <w:color w:val="000000"/>
          <w:sz w:val="20"/>
        </w:rPr>
        <w:t>$10,796,000</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compared to </w:t>
      </w:r>
      <w:r>
        <w:rPr>
          <w:rFonts w:ascii="Times New Roman;serif" w:hAnsi="Times New Roman;serif"/>
          <w:b w:val="false"/>
          <w:color w:val="000000"/>
          <w:sz w:val="20"/>
        </w:rPr>
        <w:t>$12,801,000</w:t>
      </w:r>
      <w:r>
        <w:rPr>
          <w:color w:val="000000"/>
          <w:shd w:fill="FFFFFF" w:val="clear"/>
        </w:rPr>
        <w:t xml:space="preserve"> </w:t>
      </w:r>
      <w:r>
        <w:rPr>
          <w:rFonts w:ascii="Times New Roman;serif" w:hAnsi="Times New Roman;serif"/>
          <w:b w:val="false"/>
          <w:color w:val="000000"/>
          <w:sz w:val="20"/>
          <w:shd w:fill="FFFFFF" w:val="clear"/>
        </w:rPr>
        <w:t xml:space="preserve">for the prior year’s three months, a decrease of </w:t>
      </w:r>
      <w:r>
        <w:rPr>
          <w:rFonts w:ascii="Times New Roman;serif" w:hAnsi="Times New Roman;serif"/>
          <w:b w:val="false"/>
          <w:color w:val="000000"/>
          <w:sz w:val="20"/>
        </w:rPr>
        <w:t>$2,005,000</w:t>
      </w:r>
      <w:r>
        <w:rPr>
          <w:rFonts w:ascii="Times New Roman;serif" w:hAnsi="Times New Roman;serif"/>
          <w:b w:val="false"/>
          <w:color w:val="000000"/>
          <w:sz w:val="20"/>
          <w:shd w:fill="FFFFFF" w:val="clear"/>
        </w:rPr>
        <w:t xml:space="preserve">. This was primarily due to (i) </w:t>
      </w:r>
      <w:r>
        <w:rPr>
          <w:rFonts w:ascii="Times New Roman;serif" w:hAnsi="Times New Roman;serif"/>
          <w:b w:val="false"/>
          <w:color w:val="000000"/>
          <w:sz w:val="20"/>
        </w:rPr>
        <w:t xml:space="preserve">$2,502,000 of lower interest expense from the 731 Lexington Avenue retail loan restructuring in December 2025 and (ii) $441,000 of lower interest expense from the </w:t>
      </w:r>
      <w:r>
        <w:rPr>
          <w:rFonts w:ascii="Times New Roman;serif" w:hAnsi="Times New Roman;serif"/>
          <w:b w:val="false"/>
          <w:color w:val="000000"/>
          <w:sz w:val="20"/>
          <w:shd w:fill="FFFFFF" w:val="clear"/>
        </w:rPr>
        <w:t>Rego Park shopping center</w:t>
      </w:r>
      <w:r>
        <w:rPr>
          <w:color w:val="000000"/>
        </w:rPr>
        <w:t xml:space="preserve"> </w:t>
      </w:r>
      <w:r>
        <w:rPr>
          <w:rFonts w:ascii="Times New Roman;serif" w:hAnsi="Times New Roman;serif"/>
          <w:b w:val="false"/>
          <w:color w:val="000000"/>
          <w:sz w:val="20"/>
        </w:rPr>
        <w:t>loan refinancing in December 2025, partially offset by (iii) $1,155,000 from the expiration of the 731 Lexington Avenue retail interest rate swap in May 2025.</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Gain on Sale of Real Estate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gain on sale of real estate was $148,002,000 for the three months ended June 30, 2026, resulting from the sale of the Rego Park I property in May 2026.</w:t>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 Six Months Ended June 30, 2026, compared to June 30, 2025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Rental Revenues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Rental revenues were $108,123,000 for the six months ended June 30, 2026, compared to $106,504,000 for the prior year’s six months, an increase of $1,619,000. </w:t>
      </w:r>
      <w:r>
        <w:rPr>
          <w:rFonts w:ascii="Times New Roman;serif" w:hAnsi="Times New Roman;serif"/>
          <w:b w:val="false"/>
          <w:color w:val="000000"/>
          <w:sz w:val="20"/>
          <w:shd w:fill="FFFFFF" w:val="clear"/>
        </w:rPr>
        <w:t>This was primarily due to (i) $2,958,000 of higher rental revenue from new leases and $1,699,000 of higher straight-line revenue resulting from a tenant lease modification at the Rego Park shopping center, (ii) $3,334,000 of higher operating expense recoveries from higher operating expenses and (iii) $433,000 of higher lease termination fee income, partially offset by (iv) $3,360,000 of lower rental revenue from Home Depot’s lease expiration and other retail tenant expirations at 731 Lexington Avenue, (v) $2,064,000 of lower rental revenue from lease expirations at Rego Park I and (vi) $1,551,000 of payments received in the prior year for tenant receivables that were previously written off.</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Operating Expenses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Operating expenses were $55,723,000 for the six months ended June 30, 2026, compared to $51,498,000 for the prior year’s six months, an increase of $4,225,000</w:t>
      </w:r>
      <w:r>
        <w:rPr>
          <w:rFonts w:ascii="Times New Roman;serif" w:hAnsi="Times New Roman;serif"/>
          <w:b w:val="false"/>
          <w:color w:val="000000"/>
          <w:sz w:val="20"/>
          <w:shd w:fill="FFFFFF" w:val="clear"/>
        </w:rPr>
        <w:t>. This was primarily due to (i) $1,697,000 of higher operating expenses subject to recovery, including common area maintenance and real estate taxes, (ii) $1,595,000 of lower capitalized expenses and (iii) $931,000 of higher operating expenses not subject to recovery.</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Depreciation and Amortization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was $17,004,000 for the six months ended June 30, 2026, compared to $17,306,000 for the prior year’s six months, a decrease of $302,000. This was primarily due to the cessation of depreciation at Rego Park I that began in the first quarter of 2026 upon classification of the property as held for sale, partially offset by higher depreciation expense on capital costs for new leases at the Rego Park shopping center.</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 Expenses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General and administrative expenses were $4,979,000 for the six months ended June 30, 2026, compared to $3,546,000 for the prior year’s six months, an increase of $1,433,000</w:t>
      </w:r>
      <w:r>
        <w:rPr>
          <w:rFonts w:ascii="Times New Roman;serif" w:hAnsi="Times New Roman;serif"/>
          <w:b w:val="false"/>
          <w:color w:val="000000"/>
          <w:sz w:val="20"/>
          <w:shd w:fill="FFFFFF" w:val="clear"/>
        </w:rPr>
        <w:t>. This was primarily due to $1,188,000 of higher professional fees and $263,000 of higher stock-based compensation expense from an increase in the amount of deferred stock units granted to our Board of Directors in the current year.</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Other Income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Interest and other income was $3,130,000</w:t>
      </w:r>
      <w:r>
        <w:rPr>
          <w:color w:val="000000"/>
          <w:shd w:fill="FFFFFF" w:val="clear"/>
        </w:rPr>
        <w:t xml:space="preserve">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compared to </w:t>
      </w:r>
      <w:r>
        <w:rPr>
          <w:rFonts w:ascii="Times New Roman;serif" w:hAnsi="Times New Roman;serif"/>
          <w:b w:val="false"/>
          <w:color w:val="000000"/>
          <w:sz w:val="20"/>
        </w:rPr>
        <w:t>$7,873,000</w:t>
      </w:r>
      <w:r>
        <w:rPr>
          <w:color w:val="000000"/>
          <w:shd w:fill="FFFFFF" w:val="clear"/>
        </w:rPr>
        <w:t xml:space="preserve"> </w:t>
      </w:r>
      <w:r>
        <w:rPr>
          <w:rFonts w:ascii="Times New Roman;serif" w:hAnsi="Times New Roman;serif"/>
          <w:b w:val="false"/>
          <w:color w:val="000000"/>
          <w:sz w:val="20"/>
          <w:shd w:fill="FFFFFF" w:val="clear"/>
        </w:rPr>
        <w:t xml:space="preserve">for the prior year’s six months, a decrease of </w:t>
      </w:r>
      <w:r>
        <w:rPr>
          <w:rFonts w:ascii="Times New Roman;serif" w:hAnsi="Times New Roman;serif"/>
          <w:b w:val="false"/>
          <w:color w:val="000000"/>
          <w:sz w:val="20"/>
        </w:rPr>
        <w:t>$4,743,000</w:t>
      </w:r>
      <w:r>
        <w:rPr>
          <w:rFonts w:ascii="Times New Roman;serif" w:hAnsi="Times New Roman;serif"/>
          <w:b w:val="false"/>
          <w:color w:val="000000"/>
          <w:sz w:val="20"/>
          <w:shd w:fill="FFFFFF" w:val="clear"/>
        </w:rPr>
        <w:t>. This was primarily due to a decrease in average investment balances and interest rates.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Debt Expense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Interest and debt exp</w:t>
      </w:r>
      <w:r>
        <w:rPr>
          <w:rFonts w:ascii="Times New Roman;serif" w:hAnsi="Times New Roman;serif"/>
          <w:b w:val="false"/>
          <w:color w:val="000000"/>
          <w:sz w:val="20"/>
          <w:shd w:fill="FFFFFF" w:val="clear"/>
        </w:rPr>
        <w:t xml:space="preserve">ense was </w:t>
      </w:r>
      <w:r>
        <w:rPr>
          <w:rFonts w:ascii="Times New Roman;serif" w:hAnsi="Times New Roman;serif"/>
          <w:b w:val="false"/>
          <w:color w:val="000000"/>
          <w:sz w:val="20"/>
        </w:rPr>
        <w:t>$21,525,000</w:t>
      </w:r>
      <w:r>
        <w:rPr>
          <w:color w:val="000000"/>
          <w:shd w:fill="FFFFFF" w:val="clear"/>
        </w:rPr>
        <w:t xml:space="preserve">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compared to </w:t>
      </w:r>
      <w:r>
        <w:rPr>
          <w:rFonts w:ascii="Times New Roman;serif" w:hAnsi="Times New Roman;serif"/>
          <w:b w:val="false"/>
          <w:color w:val="000000"/>
          <w:sz w:val="20"/>
        </w:rPr>
        <w:t>$23,595,000</w:t>
      </w:r>
      <w:r>
        <w:rPr>
          <w:color w:val="000000"/>
          <w:shd w:fill="FFFFFF" w:val="clear"/>
        </w:rPr>
        <w:t xml:space="preserve"> </w:t>
      </w:r>
      <w:r>
        <w:rPr>
          <w:rFonts w:ascii="Times New Roman;serif" w:hAnsi="Times New Roman;serif"/>
          <w:b w:val="false"/>
          <w:color w:val="000000"/>
          <w:sz w:val="20"/>
          <w:shd w:fill="FFFFFF" w:val="clear"/>
        </w:rPr>
        <w:t xml:space="preserve">for the prior year’s six months, a decrease of </w:t>
      </w:r>
      <w:r>
        <w:rPr>
          <w:rFonts w:ascii="Times New Roman;serif" w:hAnsi="Times New Roman;serif"/>
          <w:b w:val="false"/>
          <w:color w:val="000000"/>
          <w:sz w:val="20"/>
        </w:rPr>
        <w:t>$2,070,000</w:t>
      </w:r>
      <w:r>
        <w:rPr>
          <w:rFonts w:ascii="Times New Roman;serif" w:hAnsi="Times New Roman;serif"/>
          <w:b w:val="false"/>
          <w:color w:val="000000"/>
          <w:sz w:val="20"/>
          <w:shd w:fill="FFFFFF" w:val="clear"/>
        </w:rPr>
        <w:t xml:space="preserve">. This was primarily due to (i) </w:t>
      </w:r>
      <w:r>
        <w:rPr>
          <w:rFonts w:ascii="Times New Roman;serif" w:hAnsi="Times New Roman;serif"/>
          <w:b w:val="false"/>
          <w:color w:val="000000"/>
          <w:sz w:val="20"/>
        </w:rPr>
        <w:t xml:space="preserve">$4,979,000 of lower interest expense from the 731 Lexington Avenue retail loan restructuring in December 2025 and (ii) $847,000 of lower interest expense from the </w:t>
      </w:r>
      <w:r>
        <w:rPr>
          <w:rFonts w:ascii="Times New Roman;serif" w:hAnsi="Times New Roman;serif"/>
          <w:b w:val="false"/>
          <w:color w:val="000000"/>
          <w:sz w:val="20"/>
          <w:shd w:fill="FFFFFF" w:val="clear"/>
        </w:rPr>
        <w:t>Rego Park shopping center</w:t>
      </w:r>
      <w:r>
        <w:rPr>
          <w:color w:val="000000"/>
        </w:rPr>
        <w:t xml:space="preserve"> </w:t>
      </w:r>
      <w:r>
        <w:rPr>
          <w:rFonts w:ascii="Times New Roman;serif" w:hAnsi="Times New Roman;serif"/>
          <w:b w:val="false"/>
          <w:color w:val="000000"/>
          <w:sz w:val="20"/>
        </w:rPr>
        <w:t>loan refinancing in December 2025, partially offset by (iii) $4,220,000 from the expiration of the 731 Lexington Avenue retail interest rate swap in May 2025.</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Gain on Sale of Real Estate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gain on sale of real estate was $148,002,000 for the six months ended June 30, 2026, resulting from the sale of the Rego Park I property in May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cash requirements include property operating expenses, capital improvements, tenant improvements, debt service, leasing commissions, dividends to stockholders as well as development costs. The sources of liquidity to fund these cash requirements include rental revenue, which is our primary source of cash flow and is dependent upon the occupancy and rental rates of our properties, as well as our existing cash, proceeds from financings, including mortgage or construction loans secured by our properties and proceeds from asset sales.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$358,345,000 of liquidity comprised of cash and cash equivalents and restricted cash. The ongoing challenges posed by fluctuations in interest rates and the effects of inflation could adversely affect our cash flow from continuing operations but we anticipate that cash flow from continuing operations over the next twelve months, together with existing cash balances, will be adequate to fund our business operations, cash dividends to stockholders, debt service and capital expenditures. We may refinance our maturing debt as it comes due or choose to pay it down. However, there can be no assurance that additional financing or capital will be available to refinance our debt, or that the terms will be acceptable or advantageous to us.</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For the Six Months Ended June 30, 2026</w:t>
      </w:r>
    </w:p>
    <w:p>
      <w:pPr>
        <w:pStyle w:val="TextBody"/>
        <w:bidi w:val="0"/>
        <w:spacing w:lineRule="auto" w:line="288" w:before="120" w:after="283"/>
        <w:ind w:left="0" w:right="0" w:firstLine="450"/>
        <w:jc w:val="both"/>
        <w:rPr/>
      </w:pPr>
      <w:r>
        <w:rPr>
          <w:rFonts w:ascii="Times New Roman;serif" w:hAnsi="Times New Roman;serif"/>
          <w:b w:val="false"/>
          <w:color w:val="000000"/>
          <w:sz w:val="20"/>
        </w:rPr>
        <w:t>Cash and cash equivalents and restricted cash were $358,345,000 as of June 30, 2026, compared to $192,225,000 as of December 31, 2025, an 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$166,120,000</w:t>
      </w:r>
      <w:r>
        <w:rPr>
          <w:rFonts w:ascii="Times New Roman;serif" w:hAnsi="Times New Roman;serif"/>
          <w:b w:val="false"/>
          <w:color w:val="000000"/>
          <w:sz w:val="20"/>
          <w:shd w:fill="FFFFFF" w:val="clear"/>
        </w:rPr>
        <w:t xml:space="preserve">. This increase resulted from (i) </w:t>
      </w:r>
      <w:r>
        <w:rPr>
          <w:rFonts w:ascii="Times New Roman;serif" w:hAnsi="Times New Roman;serif"/>
          <w:b w:val="false"/>
          <w:color w:val="000000"/>
          <w:sz w:val="20"/>
        </w:rPr>
        <w:t>$199,339,000</w:t>
      </w:r>
      <w:r>
        <w:rPr>
          <w:color w:val="000000"/>
          <w:shd w:fill="FFFFFF" w:val="clear"/>
        </w:rPr>
        <w:t xml:space="preserve"> </w:t>
      </w:r>
      <w:r>
        <w:rPr>
          <w:rFonts w:ascii="Times New Roman;serif" w:hAnsi="Times New Roman;serif"/>
          <w:b w:val="false"/>
          <w:color w:val="000000"/>
          <w:sz w:val="20"/>
          <w:shd w:fill="FFFFFF" w:val="clear"/>
        </w:rPr>
        <w:t xml:space="preserve">of net cash provided by investing activities and (ii) </w:t>
      </w:r>
      <w:r>
        <w:rPr>
          <w:rFonts w:ascii="Times New Roman;serif" w:hAnsi="Times New Roman;serif"/>
          <w:b w:val="false"/>
          <w:color w:val="000000"/>
          <w:sz w:val="20"/>
        </w:rPr>
        <w:t>$13,005,000</w:t>
      </w:r>
      <w:r>
        <w:rPr>
          <w:color w:val="000000"/>
          <w:shd w:fill="FFFFFF" w:val="clear"/>
        </w:rPr>
        <w:t xml:space="preserve"> </w:t>
      </w:r>
      <w:r>
        <w:rPr>
          <w:rFonts w:ascii="Times New Roman;serif" w:hAnsi="Times New Roman;serif"/>
          <w:b w:val="false"/>
          <w:color w:val="000000"/>
          <w:sz w:val="20"/>
          <w:shd w:fill="FFFFFF" w:val="clear"/>
        </w:rPr>
        <w:t xml:space="preserve">of net cash provided by operating activities, partially offset by (iii) </w:t>
      </w:r>
      <w:r>
        <w:rPr>
          <w:rFonts w:ascii="Times New Roman;serif" w:hAnsi="Times New Roman;serif"/>
          <w:b w:val="false"/>
          <w:color w:val="000000"/>
          <w:sz w:val="20"/>
        </w:rPr>
        <w:t>$46,224,000</w:t>
      </w:r>
      <w:r>
        <w:rPr>
          <w:color w:val="000000"/>
          <w:shd w:fill="FFFFFF" w:val="clear"/>
        </w:rPr>
        <w:t xml:space="preserve"> </w:t>
      </w:r>
      <w:r>
        <w:rPr>
          <w:rFonts w:ascii="Times New Roman;serif" w:hAnsi="Times New Roman;serif"/>
          <w:b w:val="false"/>
          <w:color w:val="000000"/>
          <w:sz w:val="20"/>
          <w:shd w:fill="FFFFFF" w:val="clear"/>
        </w:rPr>
        <w:t>of net cash used in financing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Net cash provided by investing activities of $199,339,000 was comprised of (i) $205,819,000</w:t>
      </w:r>
      <w:r>
        <w:rPr>
          <w:color w:val="EE2724"/>
        </w:rPr>
        <w:t xml:space="preserve"> </w:t>
      </w:r>
      <w:r>
        <w:rPr>
          <w:rFonts w:ascii="Times New Roman;serif" w:hAnsi="Times New Roman;serif"/>
          <w:b w:val="false"/>
          <w:color w:val="000000"/>
          <w:sz w:val="20"/>
        </w:rPr>
        <w:t>of proceeds from sale of real estate, partially offset by (ii) $6,480,000 of construction in progress and real estate additions.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Net cash used in financing activities of </w:t>
      </w:r>
      <w:r>
        <w:rPr>
          <w:rFonts w:ascii="Times New Roman;serif" w:hAnsi="Times New Roman;serif"/>
          <w:b w:val="false"/>
          <w:color w:val="000000"/>
          <w:sz w:val="20"/>
        </w:rPr>
        <w:t>$46,224,000</w:t>
      </w:r>
      <w:r>
        <w:rPr>
          <w:color w:val="000000"/>
          <w:shd w:fill="FFFFFF" w:val="clear"/>
        </w:rPr>
        <w:t xml:space="preserve"> </w:t>
      </w:r>
      <w:r>
        <w:rPr>
          <w:rFonts w:ascii="Times New Roman;serif" w:hAnsi="Times New Roman;serif"/>
          <w:b w:val="false"/>
          <w:color w:val="000000"/>
          <w:sz w:val="20"/>
          <w:shd w:fill="FFFFFF" w:val="clear"/>
        </w:rPr>
        <w:t>was comprised of dividends paid.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Net cash provided by operating activit</w:t>
      </w:r>
      <w:r>
        <w:rPr>
          <w:rFonts w:ascii="Times New Roman;serif" w:hAnsi="Times New Roman;serif"/>
          <w:b w:val="false"/>
          <w:color w:val="000000"/>
          <w:sz w:val="20"/>
          <w:shd w:fill="FFFFFF" w:val="clear"/>
        </w:rPr>
        <w:t xml:space="preserve">ies of </w:t>
      </w:r>
      <w:r>
        <w:rPr>
          <w:rFonts w:ascii="Times New Roman;serif" w:hAnsi="Times New Roman;serif"/>
          <w:b w:val="false"/>
          <w:color w:val="000000"/>
          <w:sz w:val="20"/>
        </w:rPr>
        <w:t>$13,005,000 was comprised of (i) net income of $160,024,000, partially offset by (ii) adjustments for non-cash items</w:t>
      </w:r>
      <w:r>
        <w:rPr>
          <w:color w:val="000000"/>
          <w:shd w:fill="FFFFFF" w:val="clear"/>
        </w:rPr>
        <w:t xml:space="preserve"> </w:t>
      </w:r>
      <w:r>
        <w:rPr>
          <w:rFonts w:ascii="Times New Roman;serif" w:hAnsi="Times New Roman;serif"/>
          <w:b w:val="false"/>
          <w:color w:val="000000"/>
          <w:sz w:val="20"/>
          <w:shd w:fill="FFFFFF" w:val="clear"/>
        </w:rPr>
        <w:t>of</w:t>
      </w:r>
      <w:r>
        <w:rPr>
          <w:color w:val="000000"/>
        </w:rPr>
        <w:t xml:space="preserve"> </w:t>
      </w:r>
      <w:r>
        <w:rPr>
          <w:rFonts w:ascii="Times New Roman;serif" w:hAnsi="Times New Roman;serif"/>
          <w:b w:val="false"/>
          <w:color w:val="000000"/>
          <w:sz w:val="20"/>
        </w:rPr>
        <w:t>$121,563,000 and (iii) the net change in operating assets and liabilities of $25,456,000</w:t>
      </w:r>
      <w:r>
        <w:rPr>
          <w:rFonts w:ascii="Times New Roman;serif" w:hAnsi="Times New Roman;serif"/>
          <w:b w:val="false"/>
          <w:color w:val="000000"/>
          <w:sz w:val="20"/>
          <w:shd w:fill="FFFFFF" w:val="clear"/>
        </w:rPr>
        <w:t xml:space="preserve">. The adjustments for non-cash items were comprised of (i) net gain on sale of real estate of </w:t>
      </w:r>
      <w:r>
        <w:rPr>
          <w:rFonts w:ascii="Times New Roman;serif" w:hAnsi="Times New Roman;serif"/>
          <w:b w:val="false"/>
          <w:color w:val="000000"/>
          <w:sz w:val="20"/>
        </w:rPr>
        <w:t>$148,002,000</w:t>
      </w:r>
      <w:r>
        <w:rPr>
          <w:color w:val="000000"/>
          <w:shd w:fill="FFFFFF" w:val="clear"/>
        </w:rPr>
        <w:t xml:space="preserve"> </w:t>
      </w:r>
      <w:r>
        <w:rPr>
          <w:rFonts w:ascii="Times New Roman;serif" w:hAnsi="Times New Roman;serif"/>
          <w:b w:val="false"/>
          <w:color w:val="000000"/>
          <w:sz w:val="20"/>
          <w:shd w:fill="FFFFFF" w:val="clear"/>
        </w:rPr>
        <w:t xml:space="preserve">and (ii) straight-lining of rents of </w:t>
      </w:r>
      <w:r>
        <w:rPr>
          <w:rFonts w:ascii="Times New Roman;serif" w:hAnsi="Times New Roman;serif"/>
          <w:b w:val="false"/>
          <w:color w:val="000000"/>
          <w:sz w:val="20"/>
        </w:rPr>
        <w:t>$566,000, partially offset by</w:t>
      </w:r>
      <w:r>
        <w:rPr>
          <w:color w:val="000000"/>
          <w:shd w:fill="FFFFFF" w:val="clear"/>
        </w:rPr>
        <w:t xml:space="preserve"> </w:t>
      </w:r>
      <w:r>
        <w:rPr>
          <w:rFonts w:ascii="Times New Roman;serif" w:hAnsi="Times New Roman;serif"/>
          <w:b w:val="false"/>
          <w:color w:val="000000"/>
          <w:sz w:val="20"/>
          <w:shd w:fill="FFFFFF" w:val="clear"/>
        </w:rPr>
        <w:t xml:space="preserve">(iii) depreciation and amortization (including amortization of debt issuance costs) of </w:t>
      </w:r>
      <w:r>
        <w:rPr>
          <w:rFonts w:ascii="Times New Roman;serif" w:hAnsi="Times New Roman;serif"/>
          <w:b w:val="false"/>
          <w:color w:val="000000"/>
          <w:sz w:val="20"/>
        </w:rPr>
        <w:t>$18,292,000</w:t>
      </w:r>
      <w:r>
        <w:rPr>
          <w:rFonts w:ascii="Times New Roman;serif" w:hAnsi="Times New Roman;serif"/>
          <w:b w:val="false"/>
          <w:color w:val="000000"/>
          <w:sz w:val="20"/>
          <w:shd w:fill="FFFFFF" w:val="clear"/>
        </w:rPr>
        <w:t xml:space="preserve">, (iv) PIK interest expense of </w:t>
      </w:r>
      <w:r>
        <w:rPr>
          <w:rFonts w:ascii="Times New Roman;serif" w:hAnsi="Times New Roman;serif"/>
          <w:b w:val="false"/>
          <w:color w:val="000000"/>
          <w:sz w:val="20"/>
        </w:rPr>
        <w:t xml:space="preserve">$3,832,000, (v) </w:t>
      </w:r>
      <w:r>
        <w:rPr>
          <w:rFonts w:ascii="Times New Roman;serif" w:hAnsi="Times New Roman;serif"/>
          <w:b w:val="false"/>
          <w:color w:val="000000"/>
          <w:sz w:val="20"/>
          <w:shd w:fill="FFFFFF" w:val="clear"/>
        </w:rPr>
        <w:t xml:space="preserve">amortization of deferred lease incentives of </w:t>
      </w:r>
      <w:r>
        <w:rPr>
          <w:rFonts w:ascii="Times New Roman;serif" w:hAnsi="Times New Roman;serif"/>
          <w:b w:val="false"/>
          <w:color w:val="000000"/>
          <w:sz w:val="20"/>
        </w:rPr>
        <w:t>$3,541,000</w:t>
      </w:r>
      <w:r>
        <w:rPr>
          <w:rFonts w:ascii="Times New Roman;serif" w:hAnsi="Times New Roman;serif"/>
          <w:b w:val="false"/>
          <w:color w:val="000000"/>
          <w:sz w:val="20"/>
          <w:shd w:fill="FFFFFF" w:val="clear"/>
        </w:rPr>
        <w:t xml:space="preserve">, (vi) other non-cash adjustments of </w:t>
      </w:r>
      <w:r>
        <w:rPr>
          <w:rFonts w:ascii="Times New Roman;serif" w:hAnsi="Times New Roman;serif"/>
          <w:b w:val="false"/>
          <w:color w:val="000000"/>
          <w:sz w:val="20"/>
        </w:rPr>
        <w:t>$681,000,</w:t>
      </w:r>
      <w:r>
        <w:rPr>
          <w:color w:val="000000"/>
          <w:shd w:fill="FFFFFF" w:val="clear"/>
        </w:rPr>
        <w:t xml:space="preserve"> </w:t>
      </w:r>
      <w:r>
        <w:rPr>
          <w:rFonts w:ascii="Times New Roman;serif" w:hAnsi="Times New Roman;serif"/>
          <w:b w:val="false"/>
          <w:color w:val="000000"/>
          <w:sz w:val="20"/>
          <w:shd w:fill="FFFFFF" w:val="clear"/>
        </w:rPr>
        <w:t xml:space="preserve">(vii) stock-based compensation of </w:t>
      </w:r>
      <w:r>
        <w:rPr>
          <w:rFonts w:ascii="Times New Roman;serif" w:hAnsi="Times New Roman;serif"/>
          <w:b w:val="false"/>
          <w:color w:val="000000"/>
          <w:sz w:val="20"/>
        </w:rPr>
        <w:t>$656,000 and (viii) interest rate cap premium amortization of $3,000.</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For the Six Months Ended June 30, 2025</w:t>
      </w:r>
    </w:p>
    <w:p>
      <w:pPr>
        <w:pStyle w:val="TextBody"/>
        <w:bidi w:val="0"/>
        <w:spacing w:lineRule="auto" w:line="288" w:before="120" w:after="283"/>
        <w:ind w:left="0" w:right="0" w:firstLine="450"/>
        <w:jc w:val="both"/>
        <w:rPr/>
      </w:pPr>
      <w:r>
        <w:rPr>
          <w:rFonts w:ascii="Times New Roman;serif" w:hAnsi="Times New Roman;serif"/>
          <w:b w:val="false"/>
          <w:color w:val="000000"/>
          <w:sz w:val="20"/>
        </w:rPr>
        <w:t>Cash and cash equivalents and restricted cash were $390,305,000 as of June 30, 2025, compared to $393,836,000 as of December 31, 2024, a decr</w:t>
      </w:r>
      <w:r>
        <w:rPr>
          <w:rFonts w:ascii="Times New Roman;serif" w:hAnsi="Times New Roman;serif"/>
          <w:b w:val="false"/>
          <w:color w:val="000000"/>
          <w:sz w:val="20"/>
          <w:shd w:fill="FFFFFF" w:val="clear"/>
        </w:rPr>
        <w:t>ease of $3,531,000. This decrease resulted from (i) $48,185,000 of net cash used in financing activities and (ii) $14,633,000 of net cash used in investing activities, partially offset by (iii) $59,287,000 of net cash provided by 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financing activities of $48,185,000 was comprised of (i) $46,202,000 of dividends paid and (ii) $1,983,000 of debt repayments.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$14,633,000 was comprised of construction in progress and real estate additions.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Net cash provided by operating activit</w:t>
      </w:r>
      <w:r>
        <w:rPr>
          <w:rFonts w:ascii="Times New Roman;serif" w:hAnsi="Times New Roman;serif"/>
          <w:b w:val="false"/>
          <w:color w:val="000000"/>
          <w:sz w:val="20"/>
          <w:shd w:fill="FFFFFF" w:val="clear"/>
        </w:rPr>
        <w:t>ies of $59,287,000</w:t>
      </w:r>
      <w:r>
        <w:rPr>
          <w:color w:val="000000"/>
        </w:rPr>
        <w:t xml:space="preserve"> </w:t>
      </w:r>
      <w:r>
        <w:rPr>
          <w:rFonts w:ascii="Times New Roman;serif" w:hAnsi="Times New Roman;serif"/>
          <w:b w:val="false"/>
          <w:color w:val="000000"/>
          <w:sz w:val="20"/>
        </w:rPr>
        <w:t>was comprised of (i) net income of $18,432,000, (ii) adjustments for non-cash items</w:t>
      </w:r>
      <w:r>
        <w:rPr>
          <w:color w:val="000000"/>
          <w:shd w:fill="FFFFFF" w:val="clear"/>
        </w:rPr>
        <w:t xml:space="preserve"> </w:t>
      </w:r>
      <w:r>
        <w:rPr>
          <w:rFonts w:ascii="Times New Roman;serif" w:hAnsi="Times New Roman;serif"/>
          <w:b w:val="false"/>
          <w:color w:val="000000"/>
          <w:sz w:val="20"/>
          <w:shd w:fill="FFFFFF" w:val="clear"/>
        </w:rPr>
        <w:t>of $25,958,000 and</w:t>
      </w:r>
      <w:r>
        <w:rPr>
          <w:color w:val="000000"/>
        </w:rPr>
        <w:t xml:space="preserve"> </w:t>
      </w:r>
      <w:r>
        <w:rPr>
          <w:rFonts w:ascii="Times New Roman;serif" w:hAnsi="Times New Roman;serif"/>
          <w:b w:val="false"/>
          <w:color w:val="000000"/>
          <w:sz w:val="20"/>
        </w:rPr>
        <w:t>(iii) the net change in operating assets and liabilities of $14,897,000</w:t>
      </w:r>
      <w:r>
        <w:rPr>
          <w:rFonts w:ascii="Times New Roman;serif" w:hAnsi="Times New Roman;serif"/>
          <w:b w:val="false"/>
          <w:color w:val="000000"/>
          <w:sz w:val="20"/>
          <w:shd w:fill="FFFFFF" w:val="clear"/>
        </w:rPr>
        <w:t>. The adjustments for non-cash items were comprised of (i) depreciation and amortization (including amortization of debt issuance costs) of $18,888,000, (ii) amortization of deferred lease incentives of $3,654,000, (iii) straight-lining of rents of $2,018,000, (iv) other non-cash adjustments of $682,000, (v) stock-based compensation expense of $394,000 and (vi) interest rate cap premium amortization of $322,000.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 - continued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Commitments and Contingencies</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Insurance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maintain general liability insurance with limits of </w:t>
      </w:r>
      <w:r>
        <w:rPr>
          <w:rFonts w:ascii="Times New Roman;serif" w:hAnsi="Times New Roman;serif"/>
          <w:b w:val="false"/>
          <w:color w:val="000000"/>
          <w:sz w:val="20"/>
          <w:shd w:fill="FFFFFF" w:val="clear"/>
        </w:rPr>
        <w:t>$300,000,000</w:t>
      </w:r>
      <w:r>
        <w:rPr>
          <w:color w:val="000000"/>
        </w:rPr>
        <w:t xml:space="preserve"> </w:t>
      </w:r>
      <w:r>
        <w:rPr>
          <w:rFonts w:ascii="Times New Roman;serif" w:hAnsi="Times New Roman;serif"/>
          <w:b w:val="false"/>
          <w:color w:val="000000"/>
          <w:sz w:val="20"/>
        </w:rPr>
        <w:t xml:space="preserve">per occurrence and per property, which includes communicable disease coverage, and all-risk property and rental value insurance coverage with limits of </w:t>
      </w:r>
      <w:r>
        <w:rPr>
          <w:rFonts w:ascii="Times New Roman;serif" w:hAnsi="Times New Roman;serif"/>
          <w:b w:val="false"/>
          <w:color w:val="000000"/>
          <w:sz w:val="20"/>
          <w:shd w:fill="FFFFFF" w:val="clear"/>
        </w:rPr>
        <w:t>$1.7 billion</w:t>
      </w:r>
      <w:r>
        <w:rPr>
          <w:color w:val="000000"/>
        </w:rPr>
        <w:t xml:space="preserve"> </w:t>
      </w:r>
      <w:r>
        <w:rPr>
          <w:rFonts w:ascii="Times New Roman;serif" w:hAnsi="Times New Roman;serif"/>
          <w:b w:val="false"/>
          <w:color w:val="000000"/>
          <w:sz w:val="20"/>
        </w:rPr>
        <w:t>per occurrence, including coverage for acts of terrorism, with sub-limits for certain perils such as floods and earthquakes on each of our properties and excluding communicable disease coverage.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Fifty Ninth Street Insurance Company, LLC (“FNSIC”), our wholly owned consolidated subsidiary, acts as a direct insurer for coverage for acts of terrorism, including nuclear, biological, chemical and radiological (“NBCR”) acts, as defined by the Terrorism Risk Insurance Act of 2002, as amended to date and which has been extended through December 2027. Coverage for acts of terrorism (including NBCR acts) is up to </w:t>
      </w:r>
      <w:r>
        <w:rPr>
          <w:rFonts w:ascii="Times New Roman;serif" w:hAnsi="Times New Roman;serif"/>
          <w:b w:val="false"/>
          <w:color w:val="000000"/>
          <w:sz w:val="20"/>
          <w:shd w:fill="FFFFFF" w:val="clear"/>
        </w:rPr>
        <w:t>$1.7 billion</w:t>
      </w:r>
      <w:r>
        <w:rPr>
          <w:color w:val="000000"/>
        </w:rPr>
        <w:t xml:space="preserve"> </w:t>
      </w:r>
      <w:r>
        <w:rPr>
          <w:rFonts w:ascii="Times New Roman;serif" w:hAnsi="Times New Roman;serif"/>
          <w:b w:val="false"/>
          <w:color w:val="000000"/>
          <w:sz w:val="20"/>
        </w:rPr>
        <w:t xml:space="preserve">per occurrence and in the aggregate. Coverage for acts of terrorism (excluding NBCR acts) is fully reinsured by third party insurance companies and the Federal government with no exposure to FNSIC. For NBCR acts, FNSIC is responsible for a deductible of </w:t>
      </w:r>
      <w:r>
        <w:rPr>
          <w:rFonts w:ascii="Times New Roman;serif" w:hAnsi="Times New Roman;serif"/>
          <w:b w:val="false"/>
          <w:color w:val="000000"/>
          <w:sz w:val="20"/>
          <w:shd w:fill="FFFFFF" w:val="clear"/>
        </w:rPr>
        <w:t>$348,000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w:t>
      </w:r>
      <w:r>
        <w:rPr>
          <w:color w:val="000000"/>
        </w:rPr>
        <w:t xml:space="preserve"> </w:t>
      </w:r>
      <w:r>
        <w:rPr>
          <w:rFonts w:ascii="Times New Roman;serif" w:hAnsi="Times New Roman;serif"/>
          <w:b w:val="false"/>
          <w:color w:val="000000"/>
          <w:sz w:val="20"/>
        </w:rPr>
        <w:t xml:space="preserve">of the balance of a covered loss, and the Federal government is responsible for the remaining </w:t>
      </w:r>
      <w:r>
        <w:rPr>
          <w:rFonts w:ascii="Times New Roman;serif" w:hAnsi="Times New Roman;serif"/>
          <w:b w:val="false"/>
          <w:color w:val="000000"/>
          <w:sz w:val="20"/>
          <w:shd w:fill="FFFFFF" w:val="clear"/>
        </w:rPr>
        <w:t>80%</w:t>
      </w:r>
      <w:r>
        <w:rPr>
          <w:color w:val="000000"/>
        </w:rPr>
        <w:t xml:space="preserve"> </w:t>
      </w:r>
      <w:r>
        <w:rPr>
          <w:rFonts w:ascii="Times New Roman;serif" w:hAnsi="Times New Roman;serif"/>
          <w:b w:val="false"/>
          <w:color w:val="000000"/>
          <w:sz w:val="20"/>
        </w:rPr>
        <w:t>of a covered loss. We are ultimately responsible for any loss incurred by FNSIC.</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state of the insurance market and the scope and costs of coverage for acts of terrorism or other events. However, we cannot anticipate what coverage will be available on commercially reasonable terms in the future. We are responsible for uninsured losses and for deductibles and losses in excess of our insurance coverage, which could be material.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loans contain customary covenants requiring us to maintain insurance. Although we believe that we have adequate insurance coverage for purposes of these agreements, we may not be able to obtain an equivalent amount of coverage at reasonable costs in the future. If lenders insist on greater coverage than we are able to obtain, it could adversely affect our ability to finance or refinance our properties.</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are various legal actions brought against us from time-to-time in the ordinary course of business. In our opinion, the outcome of such pending matters in the aggregate will not have a material effect on our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Funds from Operations (“FFO”) (non-GAAP)</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FFO is computed in accordance with the definition adopted by the Board of Governors of the National Association of Real Estate Investment Trusts (“NAREIT”). NAREIT defines FFO as GAAP net income or loss adjusted to exclude net gains from sales of certain real estate assets, real estate impairment losses,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A reconciliation of our net income to FFO is provided below.</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FFO (non-GAAP) for the three and six months ended June 30, 2026 and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FFO (non-GAAP) for the three months ended June 30, 2026 was $15,538,000, or $3.02 per diluted share, compared to $14,762,000 or $2.88 per diluted share in the prior year’s three months.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FFO (non-GAAP) for the six months ended June 30, 2026 was $28,902,000, or $5.63 per diluted share, compared to $35,604,000 or $6.93 per diluted share in the prior year’s six months.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income to FFO (non-GAAP):</w:t>
      </w:r>
    </w:p>
    <w:tbl>
      <w:tblPr>
        <w:tblW w:w="10205" w:type="dxa"/>
        <w:jc w:val="left"/>
        <w:tblInd w:w="0" w:type="dxa"/>
        <w:tblLayout w:type="fixed"/>
        <w:tblCellMar>
          <w:top w:w="28" w:type="dxa"/>
          <w:left w:w="28" w:type="dxa"/>
          <w:bottom w:w="28" w:type="dxa"/>
          <w:right w:w="28" w:type="dxa"/>
        </w:tblCellMar>
      </w:tblPr>
      <w:tblGrid>
        <w:gridCol w:w="1382"/>
        <w:gridCol w:w="1147"/>
        <w:gridCol w:w="1155"/>
        <w:gridCol w:w="109"/>
        <w:gridCol w:w="109"/>
        <w:gridCol w:w="109"/>
        <w:gridCol w:w="248"/>
        <w:gridCol w:w="973"/>
        <w:gridCol w:w="128"/>
        <w:gridCol w:w="128"/>
        <w:gridCol w:w="128"/>
        <w:gridCol w:w="128"/>
        <w:gridCol w:w="266"/>
        <w:gridCol w:w="850"/>
        <w:gridCol w:w="128"/>
        <w:gridCol w:w="109"/>
        <w:gridCol w:w="109"/>
        <w:gridCol w:w="109"/>
        <w:gridCol w:w="236"/>
        <w:gridCol w:w="925"/>
        <w:gridCol w:w="121"/>
        <w:gridCol w:w="121"/>
        <w:gridCol w:w="121"/>
        <w:gridCol w:w="121"/>
        <w:gridCol w:w="254"/>
        <w:gridCol w:w="808"/>
        <w:gridCol w:w="183"/>
      </w:tblGrid>
      <w:tr>
        <w:trPr/>
        <w:tc>
          <w:tcPr>
            <w:tcW w:w="138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per diluted share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FFO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5,137,549 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5,134,599 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5,136,757 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5,134,069 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exposure to fluctuations in interest rates, which are sensitive to many factors that are beyond our control. Our exposure to a change in interest rates is summarized in the table below. </w:t>
      </w:r>
    </w:p>
    <w:tbl>
      <w:tblPr>
        <w:tblW w:w="10205" w:type="dxa"/>
        <w:jc w:val="left"/>
        <w:tblInd w:w="0" w:type="dxa"/>
        <w:tblLayout w:type="fixed"/>
        <w:tblCellMar>
          <w:top w:w="28" w:type="dxa"/>
          <w:left w:w="28" w:type="dxa"/>
          <w:bottom w:w="28" w:type="dxa"/>
          <w:right w:w="28" w:type="dxa"/>
        </w:tblCellMar>
      </w:tblPr>
      <w:tblGrid>
        <w:gridCol w:w="859"/>
        <w:gridCol w:w="753"/>
        <w:gridCol w:w="759"/>
        <w:gridCol w:w="109"/>
        <w:gridCol w:w="109"/>
        <w:gridCol w:w="109"/>
        <w:gridCol w:w="242"/>
        <w:gridCol w:w="950"/>
        <w:gridCol w:w="125"/>
        <w:gridCol w:w="109"/>
        <w:gridCol w:w="109"/>
        <w:gridCol w:w="109"/>
        <w:gridCol w:w="395"/>
        <w:gridCol w:w="395"/>
        <w:gridCol w:w="396"/>
        <w:gridCol w:w="109"/>
        <w:gridCol w:w="109"/>
        <w:gridCol w:w="109"/>
        <w:gridCol w:w="270"/>
        <w:gridCol w:w="790"/>
        <w:gridCol w:w="141"/>
        <w:gridCol w:w="109"/>
        <w:gridCol w:w="109"/>
        <w:gridCol w:w="109"/>
        <w:gridCol w:w="232"/>
        <w:gridCol w:w="908"/>
        <w:gridCol w:w="121"/>
        <w:gridCol w:w="109"/>
        <w:gridCol w:w="109"/>
        <w:gridCol w:w="109"/>
        <w:gridCol w:w="360"/>
        <w:gridCol w:w="360"/>
        <w:gridCol w:w="514"/>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of 1%</w:t>
              <w:br/>
              <w:t>Change in</w:t>
              <w:br/>
              <w:t>  Base Rates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Interest Rate</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w:t>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Rate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4.58%</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4.82%</w:t>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effect on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the 731 Lexington Avenue retail condominium C-Note loan balance of $171,522 and $167,691 as of June 30, 2026 and December 31, 2025, respectively, including PIK interest of $4,022 and $191, respectively.</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interest rate cap relating to the mortgage loan on the Rego Park shopping center with a notional amount of $175,000,000 that caps SOFR at 4.50% through December 2026.</w:t>
      </w:r>
    </w:p>
    <w:p>
      <w:pPr>
        <w:pStyle w:val="TextBody"/>
        <w:bidi w:val="0"/>
        <w:spacing w:lineRule="auto" w:line="288" w:before="18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Fair Value of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our consolidated debt is calculated by discounting the future contractual cash flows of these instruments using current risk-adjusted rates available to borrowers with similar credit ratings, which are provided by a third-party specialist. As of June 30, 2026 and December 31, 2025, the estimated fair value of our consolidated debt was $788,814,000 and $783,004,000, respectively. Our fair value estimates, which are made at the end of the reporting period, may be different from the amounts that may ultimately be realized upon the disposition of our financial instruments. </w:t>
      </w:r>
    </w:p>
    <w:p>
      <w:pPr>
        <w:pStyle w:val="TextBody"/>
        <w:bidi w:val="0"/>
        <w:spacing w:before="12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as of the end of the period covered by this Quarterly Report on Form 10-Q. Based on such evaluation, our Chief Executive Officer and Chief Financial Officer have concluded that, as of the end of such period, our disclosure controls and procedures are effective.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 Internal Control Over Financial Reporting: There have not been any changes in our internal control over financial reporting during the fiscal quarter to which this Quarterly Report on Form 10-Q relates that have materially affected, or are reasonably likely to materially affect, our internal control over financial reporting.</w:t>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from time-to-time involved in legal actions arising in the ordinary course of business. In our opinion, the outcome of such matters in the aggregate will not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as previously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Securities Exchange Act) adopted, terminated, or modified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6.Exhibits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Exhibits required by Item 601 of Regulation S-K are filed herewith and are listed in the attached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11"/>
        <w:gridCol w:w="111"/>
        <w:gridCol w:w="111"/>
        <w:gridCol w:w="109"/>
        <w:gridCol w:w="109"/>
        <w:gridCol w:w="109"/>
        <w:gridCol w:w="1539"/>
        <w:gridCol w:w="1368"/>
        <w:gridCol w:w="1368"/>
        <w:gridCol w:w="1368"/>
        <w:gridCol w:w="1368"/>
        <w:gridCol w:w="1397"/>
        <w:gridCol w:w="111"/>
        <w:gridCol w:w="111"/>
        <w:gridCol w:w="16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shd w:fill="FFFFFF" w:val="clear"/>
                </w:rPr>
                <w:t>10.1</w:t>
              </w:r>
            </w:hyperlink>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Alexander’s, Inc. 2026 Omnibus Stock Plan Deferred Stock Unit Grant Agreement between the Company and certain employees</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shd w:fill="FFFFFF" w:val="clear"/>
                </w:rPr>
                <w:t>10.2</w:t>
              </w:r>
            </w:hyperlink>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Alexander’s, Inc. 2026 Omnibus Stock Plan</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51-10q63026.htm">
              <w:r>
                <w:rPr>
                  <w:rStyle w:val="InternetLink"/>
                  <w:rFonts w:ascii="Times New Roman;serif" w:hAnsi="Times New Roman;serif"/>
                  <w:b w:val="false"/>
                  <w:color w:val="0000FF"/>
                  <w:sz w:val="20"/>
                </w:rPr>
                <w:t>15.1</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Letter regarding unaudited interim financial information</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q63026.htm">
              <w:r>
                <w:rPr>
                  <w:rStyle w:val="InternetLink"/>
                  <w:rFonts w:ascii="Times New Roman;serif" w:hAnsi="Times New Roman;serif"/>
                  <w:b w:val="false"/>
                  <w:color w:val="0000FF"/>
                  <w:sz w:val="20"/>
                </w:rPr>
                <w:t>31.1</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 (a) Certification of the Chief Executive Officer</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q63026.htm">
              <w:r>
                <w:rPr>
                  <w:rStyle w:val="InternetLink"/>
                  <w:rFonts w:ascii="Times New Roman;serif" w:hAnsi="Times New Roman;serif"/>
                  <w:b w:val="false"/>
                  <w:color w:val="0000FF"/>
                  <w:sz w:val="20"/>
                </w:rPr>
                <w:t>31.2</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 (a) Certification of the Chief Financial Officer</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q63026.htm">
              <w:r>
                <w:rPr>
                  <w:rStyle w:val="InternetLink"/>
                  <w:rFonts w:ascii="Times New Roman;serif" w:hAnsi="Times New Roman;serif"/>
                  <w:b w:val="false"/>
                  <w:color w:val="0000FF"/>
                  <w:sz w:val="20"/>
                </w:rPr>
                <w:t>32.1</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Chief Executive Officer</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q63026.htm">
              <w:r>
                <w:rPr>
                  <w:rStyle w:val="InternetLink"/>
                  <w:rFonts w:ascii="Times New Roman;serif" w:hAnsi="Times New Roman;serif"/>
                  <w:b w:val="false"/>
                  <w:color w:val="0000FF"/>
                  <w:sz w:val="20"/>
                </w:rPr>
                <w:t>32.2</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Chief Financial Officer</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Alexander’s, Inc. Quarterly Report on Form 10-Q for the quarter ended June 30, 2026 formatted in Inline Extensible Business Reporting Language (iXBRL) includes: (i) consolidated balance sheets, (ii) consolidated statements of income, (iii) consolidated statements of comprehensive income, (iv) consolidated statements of changes in equity, (v) consolidated statements of cash flows and (vi) the notes to the consolidated financial statements</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408"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from the Alexander’s, Inc. Quarterly Report on Form 10-Q for the quarter ended June 30, 2026 formatted as iXBRL and contained in Exhibit 101</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5" w:type="dxa"/>
            <w:gridSpan w:val="3"/>
            <w:tcBorders/>
            <w:vAlign w:val="center"/>
          </w:tcPr>
          <w:p>
            <w:pPr>
              <w:pStyle w:val="TableContents"/>
              <w:bidi w:val="0"/>
              <w:spacing w:before="0" w:after="283"/>
              <w:jc w:val="left"/>
              <w:rPr>
                <w:sz w:val="4"/>
                <w:szCs w:val="4"/>
              </w:rPr>
            </w:pPr>
            <w:r>
              <w:rPr>
                <w:sz w:val="4"/>
                <w:szCs w:val="4"/>
              </w:rPr>
            </w:r>
          </w:p>
        </w:tc>
        <w:tc>
          <w:tcPr>
            <w:tcW w:w="4133"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from Form 8-K filed on May 21, 2026.</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Annex A to the Alexander’s, Inc. definitive proxy statement on Schedule 14A for its 2026 Annual Meeting of Stockholders filed on April 7, 2026.</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agreement.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04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2282"/>
        <w:gridCol w:w="2282"/>
        <w:gridCol w:w="32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ALEXANDER’S,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Gary Hansen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Hansen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(duly authorized officer and 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15.1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of Directors and Stockholders of Alexander’s,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210 Route 4 East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Paramus, New Jersey 07652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We are aware that our report dated August 3, 2026, on our review of the interim financial information of Alexander’s, Inc. appearing in this Quarterly Report on Form 10-Q for the quarter ended June 30, 2026, is incorporated by reference in Registration Statement No.</w:t>
      </w:r>
      <w:r>
        <w:rPr>
          <w:color w:val="000000"/>
        </w:rPr>
        <w:t xml:space="preserve"> </w:t>
      </w:r>
      <w:r>
        <w:rPr>
          <w:rFonts w:ascii="Times New Roman;serif" w:hAnsi="Times New Roman;serif"/>
          <w:b w:val="false"/>
          <w:color w:val="000000"/>
          <w:sz w:val="20"/>
        </w:rPr>
        <w:t>333-296120</w:t>
      </w:r>
      <w:r>
        <w:rPr>
          <w:color w:val="000000"/>
        </w:rPr>
        <w:t xml:space="preserve"> </w:t>
      </w:r>
      <w:r>
        <w:rPr>
          <w:rFonts w:ascii="Times New Roman;serif" w:hAnsi="Times New Roman;serif"/>
          <w:b w:val="false"/>
          <w:color w:val="000000"/>
          <w:sz w:val="20"/>
        </w:rPr>
        <w:t>on Form S-8.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before="0" w:after="0"/>
        <w:jc w:val="left"/>
        <w:rPr/>
      </w:pPr>
      <w:r>
        <w:rPr/>
      </w:r>
    </w:p>
    <w:p>
      <w:pPr>
        <w:pStyle w:val="TextBody"/>
        <w:bidi w:val="0"/>
        <w:spacing w:before="0" w:after="0"/>
        <w:jc w:val="left"/>
        <w:rPr/>
      </w:pPr>
      <w:r>
        <w:rPr/>
      </w:r>
    </w:p>
    <w:p>
      <w:pPr>
        <w:pStyle w:val="TextBody"/>
        <w:bidi w:val="0"/>
        <w:spacing w:before="123" w:after="283"/>
        <w:jc w:val="both"/>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Steven Roth,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w:t>
        <w:noBreakHyphen/>
        <w:t>Q of Alexander’s,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647" w:type="dxa"/>
        <w:jc w:val="left"/>
        <w:tblInd w:w="0" w:type="dxa"/>
        <w:tblLayout w:type="fixed"/>
        <w:tblCellMar>
          <w:top w:w="28" w:type="dxa"/>
          <w:left w:w="28" w:type="dxa"/>
          <w:bottom w:w="28" w:type="dxa"/>
          <w:right w:w="28" w:type="dxa"/>
        </w:tblCellMar>
      </w:tblPr>
      <w:tblGrid>
        <w:gridCol w:w="124"/>
        <w:gridCol w:w="109"/>
        <w:gridCol w:w="109"/>
        <w:gridCol w:w="1257"/>
        <w:gridCol w:w="1257"/>
        <w:gridCol w:w="1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Roth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Roth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Gary Hansen,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w:t>
        <w:noBreakHyphen/>
        <w:t>Q of Alexander’s,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7"/>
        <w:gridCol w:w="587"/>
        <w:gridCol w:w="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Gary Hansen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Hansen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of Chapter 63 of Title 18 of the United States Code)</w:t>
      </w:r>
    </w:p>
    <w:p>
      <w:pPr>
        <w:pStyle w:val="TextBody"/>
        <w:bidi w:val="0"/>
        <w:spacing w:before="0" w:after="360"/>
        <w:jc w:val="center"/>
        <w:rPr/>
      </w:pPr>
      <w:r>
        <w:rPr/>
      </w:r>
    </w:p>
    <w:p>
      <w:pPr>
        <w:pStyle w:val="TextBody"/>
        <w:bidi w:val="0"/>
        <w:spacing w:lineRule="auto" w:line="288" w:before="0" w:after="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of Chapter 63 of Title 18 of the United States Code), the undersigned officer of Alexander’s, Inc. (the “Company”), hereby certifies, to such officer’s knowledge, that:</w:t>
      </w:r>
    </w:p>
    <w:p>
      <w:pPr>
        <w:pStyle w:val="TextBody"/>
        <w:bidi w:val="0"/>
        <w:spacing w:before="0" w:after="0"/>
        <w:ind w:left="0" w:right="0" w:firstLine="405"/>
        <w:jc w:val="both"/>
        <w:rPr/>
      </w:pPr>
      <w:r>
        <w:rPr/>
      </w:r>
    </w:p>
    <w:p>
      <w:pPr>
        <w:pStyle w:val="TextBody"/>
        <w:bidi w:val="0"/>
        <w:spacing w:lineRule="auto" w:line="288" w:before="0" w:after="0"/>
        <w:ind w:left="0" w:right="0" w:firstLine="405"/>
        <w:jc w:val="both"/>
        <w:rPr/>
      </w:pPr>
      <w:r>
        <w:rPr>
          <w:rFonts w:ascii="Times New Roman;serif" w:hAnsi="Times New Roman;serif"/>
          <w:b w:val="false"/>
          <w:color w:val="000000"/>
          <w:sz w:val="20"/>
        </w:rPr>
        <w:t>The Quarterly Report on Form 10-Q for the quarter ended June 30, 2026</w:t>
      </w:r>
      <w:r>
        <w:rPr>
          <w:color w:val="000000"/>
        </w:rPr>
        <w:t xml:space="preserve"> </w:t>
      </w:r>
      <w:r>
        <w:rPr>
          <w:rFonts w:ascii="Times New Roman;serif" w:hAnsi="Times New Roman;serif"/>
          <w:b w:val="false"/>
          <w:color w:val="000000"/>
          <w:sz w:val="20"/>
        </w:rPr>
        <w:t>(the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before="0" w:after="0"/>
        <w:jc w:val="both"/>
        <w:rPr/>
      </w:pPr>
      <w:r>
        <w:rPr/>
      </w:r>
    </w:p>
    <w:tbl>
      <w:tblPr>
        <w:tblW w:w="6299" w:type="dxa"/>
        <w:jc w:val="center"/>
        <w:tblInd w:w="0" w:type="dxa"/>
        <w:tblLayout w:type="fixed"/>
        <w:tblCellMar>
          <w:top w:w="28" w:type="dxa"/>
          <w:left w:w="28" w:type="dxa"/>
          <w:bottom w:w="28" w:type="dxa"/>
          <w:right w:w="28" w:type="dxa"/>
        </w:tblCellMar>
      </w:tblPr>
      <w:tblGrid>
        <w:gridCol w:w="494"/>
        <w:gridCol w:w="435"/>
        <w:gridCol w:w="436"/>
        <w:gridCol w:w="209"/>
        <w:gridCol w:w="209"/>
        <w:gridCol w:w="211"/>
        <w:gridCol w:w="1254"/>
        <w:gridCol w:w="1254"/>
        <w:gridCol w:w="1797"/>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Roth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Roth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of Chapter 63 of Title 18 of the United States Code)</w:t>
      </w:r>
    </w:p>
    <w:p>
      <w:pPr>
        <w:pStyle w:val="TextBody"/>
        <w:bidi w:val="0"/>
        <w:spacing w:before="0" w:after="360"/>
        <w:jc w:val="center"/>
        <w:rPr/>
      </w:pPr>
      <w:r>
        <w:rPr/>
      </w:r>
    </w:p>
    <w:p>
      <w:pPr>
        <w:pStyle w:val="TextBody"/>
        <w:bidi w:val="0"/>
        <w:spacing w:lineRule="auto" w:line="288" w:before="0" w:after="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of Chapter 63 of Title 18 of the United States Code), the undersigned officer of Alexander’s, Inc. (the “Company”), hereby certifies, to such officer’s knowledge, that:</w:t>
      </w:r>
    </w:p>
    <w:p>
      <w:pPr>
        <w:pStyle w:val="TextBody"/>
        <w:bidi w:val="0"/>
        <w:spacing w:before="0" w:after="0"/>
        <w:ind w:left="0" w:right="0" w:firstLine="405"/>
        <w:jc w:val="both"/>
        <w:rPr/>
      </w:pPr>
      <w:r>
        <w:rPr/>
      </w:r>
    </w:p>
    <w:p>
      <w:pPr>
        <w:pStyle w:val="TextBody"/>
        <w:bidi w:val="0"/>
        <w:spacing w:lineRule="auto" w:line="288" w:before="0" w:after="0"/>
        <w:ind w:left="0" w:right="0" w:firstLine="405"/>
        <w:jc w:val="both"/>
        <w:rPr/>
      </w:pPr>
      <w:r>
        <w:rPr>
          <w:rFonts w:ascii="Times New Roman;serif" w:hAnsi="Times New Roman;serif"/>
          <w:b w:val="false"/>
          <w:color w:val="000000"/>
          <w:sz w:val="20"/>
        </w:rPr>
        <w:t>The Quarterly Report on Form 10-Q for the quarter ended June 30, 2026</w:t>
      </w:r>
      <w:r>
        <w:rPr>
          <w:color w:val="000000"/>
        </w:rPr>
        <w:t xml:space="preserve"> </w:t>
      </w:r>
      <w:r>
        <w:rPr>
          <w:rFonts w:ascii="Times New Roman;serif" w:hAnsi="Times New Roman;serif"/>
          <w:b w:val="false"/>
          <w:color w:val="000000"/>
          <w:sz w:val="20"/>
        </w:rPr>
        <w:t>(the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before="100" w:after="283"/>
        <w:jc w:val="center"/>
        <w:rPr/>
      </w:pPr>
      <w:r>
        <w:rPr/>
      </w:r>
    </w:p>
    <w:tbl>
      <w:tblPr>
        <w:tblW w:w="4003" w:type="dxa"/>
        <w:jc w:val="center"/>
        <w:tblInd w:w="0" w:type="dxa"/>
        <w:tblLayout w:type="fixed"/>
        <w:tblCellMar>
          <w:top w:w="28" w:type="dxa"/>
          <w:left w:w="28" w:type="dxa"/>
          <w:bottom w:w="28" w:type="dxa"/>
          <w:right w:w="28" w:type="dxa"/>
        </w:tblCellMar>
      </w:tblPr>
      <w:tblGrid>
        <w:gridCol w:w="494"/>
        <w:gridCol w:w="435"/>
        <w:gridCol w:w="436"/>
        <w:gridCol w:w="209"/>
        <w:gridCol w:w="209"/>
        <w:gridCol w:w="211"/>
        <w:gridCol w:w="588"/>
        <w:gridCol w:w="588"/>
        <w:gridCol w:w="83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Gary Hansen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Hansen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499/000000349926000026/exhibit101-alx2026omnibuss.htm" TargetMode="External"/><Relationship Id="rId3" Type="http://schemas.openxmlformats.org/officeDocument/2006/relationships/hyperlink" Target="https://www.sec.gov/ix?doc=/Archives/edgar/data/3499/000119312526145567/d66701d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12094</Words>
  <Characters>65621</Characters>
  <CharactersWithSpaces>76957</CharactersWithSpaces>
  <Paragraphs>1519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