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rPr>
              <w:t>CUSIP NO. 014752109</w:t>
            </w:r>
          </w:p>
        </w:tc>
        <w:tc>
          <w:tcPr>
            <w:tcW w:w="800" w:type="dxa"/>
            <w:vAlign w:val="bottom"/>
          </w:tcPr>
          <w:p>
            <w:pPr>
              <w:ind w:left="480"/>
              <w:spacing w:after="0"/>
              <w:rPr>
                <w:sz w:val="20"/>
                <w:szCs w:val="20"/>
                <w:color w:val="auto"/>
              </w:rPr>
            </w:pPr>
            <w:r>
              <w:rPr>
                <w:rFonts w:ascii="Courier New" w:cs="Courier New" w:eastAsia="Courier New" w:hAnsi="Courier New"/>
                <w:sz w:val="18"/>
                <w:szCs w:val="18"/>
                <w:color w:val="auto"/>
                <w:w w:val="92"/>
              </w:rPr>
              <w:t>13G</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8"/>
          <w:szCs w:val="18"/>
          <w:color w:val="auto"/>
        </w:rPr>
        <w:t>UNITED STATES</w:t>
      </w:r>
    </w:p>
    <w:p>
      <w:pPr>
        <w:jc w:val="center"/>
        <w:ind w:right="32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3159"/>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Alexander's, Inc.</w:t>
      </w:r>
    </w:p>
    <w:p>
      <w:pPr>
        <w:ind w:left="264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Real Estate Investment Trust Units</w:t>
      </w:r>
    </w:p>
    <w:p>
      <w:pPr>
        <w:jc w:val="center"/>
        <w:ind w:right="325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014752109</w:t>
      </w:r>
    </w:p>
    <w:p>
      <w:pPr>
        <w:ind w:left="274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Franklin Resources, Inc.</w:t>
      </w:r>
    </w:p>
    <w:p>
      <w:pPr>
        <w:spacing w:after="0" w:line="200" w:lineRule="exact"/>
        <w:rPr>
          <w:sz w:val="24"/>
          <w:szCs w:val="24"/>
          <w:color w:val="auto"/>
        </w:rPr>
      </w:pPr>
    </w:p>
    <w:p>
      <w:pPr>
        <w:spacing w:after="0" w:line="204"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4"/>
          <w:szCs w:val="24"/>
          <w:color w:val="auto"/>
        </w:rPr>
      </w:pPr>
    </w:p>
    <w:p>
      <w:pPr>
        <w:spacing w:after="0" w:line="226" w:lineRule="exact"/>
        <w:rPr>
          <w:sz w:val="24"/>
          <w:szCs w:val="24"/>
          <w:color w:val="auto"/>
        </w:rPr>
      </w:pPr>
    </w:p>
    <w:p>
      <w:pPr>
        <w:ind w:left="1280" w:right="7159" w:hanging="640"/>
        <w:spacing w:after="0" w:line="536" w:lineRule="auto"/>
        <w:tabs>
          <w:tab w:leader="none" w:pos="12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640" w:right="3259" w:hanging="632"/>
        <w:spacing w:after="0" w:line="470"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 (See Item 4)</w:t>
      </w:r>
    </w:p>
    <w:p>
      <w:pPr>
        <w:spacing w:after="0" w:line="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ectPr>
          <w:pgSz w:w="11900" w:h="16855" w:orient="portrait"/>
          <w:cols w:equalWidth="0" w:num="1">
            <w:col w:w="10219"/>
          </w:cols>
          <w:pgMar w:left="240" w:top="244" w:right="1440" w:bottom="0" w:gutter="0" w:footer="0" w:header="0"/>
        </w:sectPr>
      </w:pPr>
    </w:p>
    <w:bookmarkStart w:id="1" w:name="page2"/>
    <w:bookmarkEnd w:id="1"/>
    <w:p>
      <w:pPr>
        <w:ind w:left="640"/>
        <w:spacing w:after="0"/>
        <w:rPr>
          <w:sz w:val="20"/>
          <w:szCs w:val="20"/>
          <w:color w:val="auto"/>
        </w:rPr>
      </w:pPr>
      <w:r>
        <w:rPr>
          <w:rFonts w:ascii="Courier New" w:cs="Courier New" w:eastAsia="Courier New" w:hAnsi="Courier New"/>
          <w:sz w:val="18"/>
          <w:szCs w:val="18"/>
          <w:color w:val="auto"/>
        </w:rPr>
        <w:t>CERTAIN SHARES [ ]</w:t>
      </w:r>
    </w:p>
    <w:p>
      <w:pPr>
        <w:spacing w:after="0" w:line="200" w:lineRule="exact"/>
        <w:rPr>
          <w:sz w:val="20"/>
          <w:szCs w:val="20"/>
          <w:color w:val="auto"/>
        </w:rPr>
      </w:pPr>
    </w:p>
    <w:p>
      <w:pPr>
        <w:spacing w:after="0" w:line="209" w:lineRule="exact"/>
        <w:rPr>
          <w:sz w:val="20"/>
          <w:szCs w:val="20"/>
          <w:color w:val="auto"/>
        </w:rPr>
      </w:pPr>
    </w:p>
    <w:p>
      <w:pPr>
        <w:ind w:left="640" w:right="4619" w:hanging="632"/>
        <w:spacing w:after="0" w:line="470"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 (See Item 4)</w:t>
      </w:r>
    </w:p>
    <w:p>
      <w:pPr>
        <w:spacing w:after="0" w:line="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Charles B. Johnson</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26" w:lineRule="exact"/>
        <w:rPr>
          <w:sz w:val="20"/>
          <w:szCs w:val="20"/>
          <w:color w:val="auto"/>
        </w:rPr>
      </w:pPr>
    </w:p>
    <w:p>
      <w:pPr>
        <w:ind w:left="1280" w:right="7159" w:hanging="640"/>
        <w:spacing w:after="0" w:line="536" w:lineRule="auto"/>
        <w:tabs>
          <w:tab w:leader="none" w:pos="128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740" w:right="3259" w:hanging="732"/>
        <w:spacing w:after="0" w:line="470" w:lineRule="auto"/>
        <w:tabs>
          <w:tab w:leader="none" w:pos="63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 (See Item 4)</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640" w:right="4619" w:hanging="632"/>
        <w:spacing w:after="0" w:line="470"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 (See Item 4)</w:t>
      </w:r>
    </w:p>
    <w:p>
      <w:pPr>
        <w:spacing w:after="0" w:line="11" w:lineRule="exact"/>
        <w:rPr>
          <w:rFonts w:ascii="Courier New" w:cs="Courier New" w:eastAsia="Courier New" w:hAnsi="Courier New"/>
          <w:sz w:val="18"/>
          <w:szCs w:val="18"/>
          <w:color w:val="auto"/>
        </w:rPr>
      </w:pPr>
    </w:p>
    <w:p>
      <w:pPr>
        <w:ind w:left="640" w:right="7059" w:hanging="632"/>
        <w:spacing w:after="0" w:line="470"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09" w:lineRule="exact"/>
        <w:rPr>
          <w:sz w:val="20"/>
          <w:szCs w:val="20"/>
          <w:color w:val="auto"/>
        </w:rPr>
      </w:pPr>
    </w:p>
    <w:p>
      <w:pPr>
        <w:ind w:left="640" w:hanging="632"/>
        <w:spacing w:after="0"/>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ectPr>
          <w:pgSz w:w="11900" w:h="16838" w:orient="portrait"/>
          <w:cols w:equalWidth="0" w:num="1">
            <w:col w:w="10219"/>
          </w:cols>
          <w:pgMar w:left="240" w:top="136" w:right="1440" w:bottom="0" w:gutter="0" w:footer="0" w:header="0"/>
        </w:sectPr>
      </w:pPr>
    </w:p>
    <w:bookmarkStart w:id="2" w:name="page3"/>
    <w:bookmarkEnd w:id="2"/>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0"/>
          <w:szCs w:val="20"/>
          <w:color w:val="auto"/>
        </w:rPr>
      </w:pPr>
    </w:p>
    <w:p>
      <w:pPr>
        <w:ind w:left="1280" w:right="7159" w:hanging="640"/>
        <w:spacing w:after="0" w:line="536" w:lineRule="auto"/>
        <w:tabs>
          <w:tab w:leader="none" w:pos="128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740" w:right="3259" w:hanging="732"/>
        <w:spacing w:after="0" w:line="470" w:lineRule="auto"/>
        <w:tabs>
          <w:tab w:leader="none" w:pos="63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 (See Item 4)</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640" w:right="4619" w:hanging="632"/>
        <w:spacing w:after="0" w:line="470"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 (See Item 4)</w:t>
      </w:r>
    </w:p>
    <w:p>
      <w:pPr>
        <w:spacing w:after="0" w:line="11" w:lineRule="exact"/>
        <w:rPr>
          <w:rFonts w:ascii="Courier New" w:cs="Courier New" w:eastAsia="Courier New" w:hAnsi="Courier New"/>
          <w:sz w:val="18"/>
          <w:szCs w:val="18"/>
          <w:color w:val="auto"/>
        </w:rPr>
      </w:pPr>
    </w:p>
    <w:p>
      <w:pPr>
        <w:ind w:left="640" w:right="7059" w:hanging="632"/>
        <w:spacing w:after="0" w:line="470"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09" w:lineRule="exact"/>
        <w:rPr>
          <w:sz w:val="20"/>
          <w:szCs w:val="20"/>
          <w:color w:val="auto"/>
        </w:rPr>
      </w:pPr>
    </w:p>
    <w:p>
      <w:pPr>
        <w:ind w:left="640" w:hanging="632"/>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Franklin Mutual Advisers, Inc.</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26" w:lineRule="exact"/>
        <w:rPr>
          <w:sz w:val="20"/>
          <w:szCs w:val="20"/>
          <w:color w:val="auto"/>
        </w:rPr>
      </w:pPr>
    </w:p>
    <w:p>
      <w:pPr>
        <w:ind w:left="1380" w:right="6839" w:hanging="740"/>
        <w:spacing w:after="0" w:line="536" w:lineRule="auto"/>
        <w:tabs>
          <w:tab w:leader="none" w:pos="1275"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572,990(See Item 4)</w:t>
      </w:r>
    </w:p>
    <w:p>
      <w:pPr>
        <w:ind w:left="1280" w:hanging="640"/>
        <w:spacing w:after="0"/>
        <w:tabs>
          <w:tab w:leader="none" w:pos="128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jc w:val="center"/>
        <w:ind w:left="1380" w:right="6639" w:hanging="740"/>
        <w:spacing w:after="0" w:line="536" w:lineRule="auto"/>
        <w:tabs>
          <w:tab w:leader="none" w:pos="1275"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572,990 (See Item 4)</w:t>
      </w:r>
    </w:p>
    <w:p>
      <w:pPr>
        <w:ind w:left="1280" w:hanging="640"/>
        <w:spacing w:after="0"/>
        <w:tabs>
          <w:tab w:leader="none" w:pos="128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960" w:right="3259" w:hanging="952"/>
        <w:spacing w:after="0" w:line="470" w:lineRule="auto"/>
        <w:tabs>
          <w:tab w:leader="none" w:pos="644"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572,990 (See Item 4)</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640" w:right="4619" w:hanging="632"/>
        <w:spacing w:after="0" w:line="470" w:lineRule="auto"/>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11.5% (See Item 4)</w:t>
      </w:r>
    </w:p>
    <w:p>
      <w:pPr>
        <w:sectPr>
          <w:pgSz w:w="11900" w:h="16942" w:orient="portrait"/>
          <w:cols w:equalWidth="0" w:num="1">
            <w:col w:w="10219"/>
          </w:cols>
          <w:pgMar w:left="240" w:top="142" w:right="1440" w:bottom="0" w:gutter="0" w:footer="0" w:header="0"/>
        </w:sectPr>
      </w:pPr>
    </w:p>
    <w:bookmarkStart w:id="3" w:name="page4"/>
    <w:bookmarkEnd w:id="3"/>
    <w:p>
      <w:pPr>
        <w:ind w:left="640" w:hanging="632"/>
        <w:spacing w:after="0"/>
        <w:tabs>
          <w:tab w:leader="none" w:pos="6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Item 1.</w:t>
      </w:r>
    </w:p>
    <w:p>
      <w:pPr>
        <w:spacing w:after="0" w:line="5" w:lineRule="exact"/>
        <w:rPr>
          <w:sz w:val="20"/>
          <w:szCs w:val="20"/>
          <w:color w:val="auto"/>
        </w:rPr>
      </w:pPr>
    </w:p>
    <w:p>
      <w:pPr>
        <w:ind w:left="540" w:right="7899" w:hanging="532"/>
        <w:spacing w:after="0" w:line="536" w:lineRule="auto"/>
        <w:tabs>
          <w:tab w:leader="none" w:pos="5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Alexander's, Inc.</w:t>
      </w: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540" w:right="84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Park 80 West Plaza II</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Saddle Brook, NJ  07663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540" w:hanging="532"/>
        <w:spacing w:after="0" w:line="238"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Franklin Resources, Inc.</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  Charles B. Johnson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(iii): Rupert H. Johnson, Jr.</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  Franklin Mutual Advisers, Inc.</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(ii), and (iii):</w:t>
      </w:r>
    </w:p>
    <w:p>
      <w:pPr>
        <w:spacing w:after="0" w:line="4" w:lineRule="exact"/>
        <w:rPr>
          <w:rFonts w:ascii="Courier New" w:cs="Courier New" w:eastAsia="Courier New" w:hAnsi="Courier New"/>
          <w:sz w:val="18"/>
          <w:szCs w:val="18"/>
          <w:color w:val="auto"/>
        </w:rPr>
      </w:pPr>
    </w:p>
    <w:p>
      <w:pPr>
        <w:ind w:left="540" w:right="66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777 Mariners Island Boulevard San Mateo, CA 94404</w:t>
      </w:r>
    </w:p>
    <w:p>
      <w:pPr>
        <w:spacing w:after="0" w:line="16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w:t>
      </w:r>
    </w:p>
    <w:p>
      <w:pPr>
        <w:spacing w:after="0" w:line="4" w:lineRule="exact"/>
        <w:rPr>
          <w:rFonts w:ascii="Courier New" w:cs="Courier New" w:eastAsia="Courier New" w:hAnsi="Courier New"/>
          <w:sz w:val="18"/>
          <w:szCs w:val="18"/>
          <w:color w:val="auto"/>
        </w:rPr>
      </w:pPr>
    </w:p>
    <w:p>
      <w:pPr>
        <w:ind w:left="540" w:right="69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51 John F. Kennedy Parkway Short Hills, NJ 07078</w:t>
      </w:r>
    </w:p>
    <w:p>
      <w:pPr>
        <w:spacing w:after="0" w:line="164"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 or Citizenship: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 Delaware</w:t>
      </w:r>
    </w:p>
    <w:p>
      <w:pPr>
        <w:ind w:left="1060" w:hanging="525"/>
        <w:spacing w:after="0" w:line="238" w:lineRule="auto"/>
        <w:tabs>
          <w:tab w:leader="none" w:pos="1060" w:val="left"/>
        </w:tabs>
        <w:numPr>
          <w:ilvl w:val="2"/>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 Delaware</w:t>
      </w:r>
    </w:p>
    <w:p>
      <w:pPr>
        <w:spacing w:after="0" w:line="207" w:lineRule="exact"/>
        <w:rPr>
          <w:rFonts w:ascii="Courier New" w:cs="Courier New" w:eastAsia="Courier New" w:hAnsi="Courier New"/>
          <w:sz w:val="18"/>
          <w:szCs w:val="18"/>
          <w:color w:val="auto"/>
        </w:rPr>
      </w:pPr>
    </w:p>
    <w:p>
      <w:pPr>
        <w:ind w:left="540" w:right="6099" w:hanging="427"/>
        <w:spacing w:after="0" w:line="536" w:lineRule="auto"/>
        <w:tabs>
          <w:tab w:leader="none" w:pos="645"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Real Estate Investment Trust Units</w:t>
      </w:r>
    </w:p>
    <w:p>
      <w:pPr>
        <w:ind w:left="540" w:right="8319" w:hanging="532"/>
        <w:spacing w:after="0" w:line="558" w:lineRule="auto"/>
        <w:tabs>
          <w:tab w:leader="none" w:pos="5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014752109</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this Schedule 13G are:</w:t>
      </w:r>
    </w:p>
    <w:p>
      <w:pPr>
        <w:spacing w:after="0" w:line="201" w:lineRule="exact"/>
        <w:rPr>
          <w:sz w:val="20"/>
          <w:szCs w:val="20"/>
          <w:color w:val="auto"/>
        </w:rPr>
      </w:pPr>
    </w:p>
    <w:p>
      <w:pPr>
        <w:ind w:left="1480" w:hanging="524"/>
        <w:spacing w:after="0"/>
        <w:tabs>
          <w:tab w:leader="none" w:pos="14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Resources, Inc.</w:t>
      </w:r>
    </w:p>
    <w:p>
      <w:pPr>
        <w:ind w:left="2000" w:hanging="517"/>
        <w:spacing w:after="0" w:line="238" w:lineRule="auto"/>
        <w:tabs>
          <w:tab w:leader="none" w:pos="200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Holding Company</w:t>
      </w:r>
    </w:p>
    <w:p>
      <w:pPr>
        <w:ind w:left="1480" w:hanging="524"/>
        <w:spacing w:after="0" w:line="238" w:lineRule="auto"/>
        <w:tabs>
          <w:tab w:leader="none" w:pos="14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Charles B. Johnson</w:t>
      </w:r>
    </w:p>
    <w:p>
      <w:pPr>
        <w:spacing w:after="0" w:line="5" w:lineRule="exact"/>
        <w:rPr>
          <w:sz w:val="20"/>
          <w:szCs w:val="20"/>
          <w:color w:val="auto"/>
        </w:rPr>
      </w:pPr>
    </w:p>
    <w:p>
      <w:pPr>
        <w:ind w:left="960" w:right="3259" w:firstLine="523"/>
        <w:spacing w:after="0" w:line="235" w:lineRule="auto"/>
        <w:tabs>
          <w:tab w:leader="none" w:pos="201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Shareholder of Parent Holding Company (iii)Rupert H. Johnson, Jr.</w:t>
      </w:r>
    </w:p>
    <w:p>
      <w:pPr>
        <w:spacing w:after="0" w:line="6" w:lineRule="exact"/>
        <w:rPr>
          <w:sz w:val="20"/>
          <w:szCs w:val="20"/>
          <w:color w:val="auto"/>
        </w:rPr>
      </w:pPr>
    </w:p>
    <w:p>
      <w:pPr>
        <w:ind w:left="2000" w:hanging="517"/>
        <w:spacing w:after="0"/>
        <w:tabs>
          <w:tab w:leader="none" w:pos="2000"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 Shareholder of Parent Holding Company</w:t>
      </w:r>
    </w:p>
    <w:p>
      <w:pPr>
        <w:spacing w:after="0" w:line="16" w:lineRule="exact"/>
        <w:rPr>
          <w:rFonts w:ascii="Courier New" w:cs="Courier New" w:eastAsia="Courier New" w:hAnsi="Courier New"/>
          <w:sz w:val="16"/>
          <w:szCs w:val="16"/>
          <w:color w:val="auto"/>
        </w:rPr>
      </w:pPr>
    </w:p>
    <w:p>
      <w:pPr>
        <w:ind w:left="1700" w:hanging="744"/>
        <w:spacing w:after="0" w:line="238" w:lineRule="auto"/>
        <w:tabs>
          <w:tab w:leader="none" w:pos="170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Mutual Advisers, Inc.</w:t>
      </w:r>
    </w:p>
    <w:p>
      <w:pPr>
        <w:ind w:left="2000" w:hanging="517"/>
        <w:spacing w:after="0" w:line="238" w:lineRule="auto"/>
        <w:tabs>
          <w:tab w:leader="none" w:pos="200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securities reported on herein are beneficially owned by one or more open-end investment companies or other managed accounts which, pursuant to advisory contracts, are advised by Franklin Mutual Advisers, Inc. ("FMAI") a wholly owned investment advisory subsidiary of Franklin Resources, Inc. ("FRI"). Such advisory contracts grant to FMAI all investment and voting power over the securities owned by such advisory clients. Therefore, FMAI may be deemed to be, for purposes of Rule 13d-3 under the Securities Exchange Act of 1934, the beneficial owner of the securities covered by this statement.</w:t>
      </w:r>
    </w:p>
    <w:p>
      <w:pPr>
        <w:spacing w:after="0" w:line="21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Beneficial ownership by investment advisory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 other. The</w:t>
      </w:r>
    </w:p>
    <w:p>
      <w:pPr>
        <w:sectPr>
          <w:pgSz w:w="11900" w:h="16838" w:orient="portrait"/>
          <w:cols w:equalWidth="0" w:num="1">
            <w:col w:w="10219"/>
          </w:cols>
          <w:pgMar w:left="240" w:top="339" w:right="1440" w:bottom="0" w:gutter="0" w:footer="0" w:header="0"/>
        </w:sectPr>
      </w:pPr>
    </w:p>
    <w:bookmarkStart w:id="4" w:name="page5"/>
    <w:bookmarkEnd w:id="4"/>
    <w:p>
      <w:pPr>
        <w:ind w:right="3259"/>
        <w:spacing w:after="0" w:line="238" w:lineRule="auto"/>
        <w:rPr>
          <w:sz w:val="20"/>
          <w:szCs w:val="20"/>
          <w:color w:val="auto"/>
        </w:rPr>
      </w:pPr>
      <w:r>
        <w:rPr>
          <w:rFonts w:ascii="Courier New" w:cs="Courier New" w:eastAsia="Courier New" w:hAnsi="Courier New"/>
          <w:sz w:val="18"/>
          <w:szCs w:val="18"/>
          <w:color w:val="auto"/>
        </w:rPr>
        <w:t>voting and investment powers held by FMAI are exercised independently from FRI, its parent holding company, and from all other investment advisor subsidiaries of FRI (FRI, its affiliates and investment advisor subsidiaries other than FMAI are collectively referred to herein as "FRI affiliates"). Furthermore, FMAI and FRI internal policies and procedures establish informational barriers that prevent the flow between FMAI and the FRI affiliates of information that relates to the voting and investment powers over the securities owned by their respective advisory clients. Consequently, FMAI and the FRI affiliates are each reporting the securities over which they hold investment and voting power separately from each other.</w:t>
      </w:r>
    </w:p>
    <w:p>
      <w:pPr>
        <w:spacing w:after="0" w:line="207" w:lineRule="exact"/>
        <w:rPr>
          <w:sz w:val="20"/>
          <w:szCs w:val="20"/>
          <w:color w:val="auto"/>
        </w:rPr>
      </w:pPr>
    </w:p>
    <w:p>
      <w:pPr>
        <w:ind w:right="3159"/>
        <w:spacing w:after="0" w:line="270" w:lineRule="auto"/>
        <w:rPr>
          <w:sz w:val="20"/>
          <w:szCs w:val="20"/>
          <w:color w:val="auto"/>
        </w:rPr>
      </w:pPr>
      <w:r>
        <w:rPr>
          <w:rFonts w:ascii="Courier New" w:cs="Courier New" w:eastAsia="Courier New" w:hAnsi="Courier New"/>
          <w:sz w:val="16"/>
          <w:szCs w:val="16"/>
          <w:color w:val="auto"/>
        </w:rPr>
        <w:t>Charles B. Johnson and Rupert H. Johnson, Jr. (the "Principal Shareholders") each own in excess of 10% of the outstanding Common Stock of FRI and are the principal shareholders of FRI. However, FMAI exercises voting and investment powers on behalf of its advisory clients independently of FRI, the Principal Shareholders, and their respective affiliates. Consequently, beneficial ownership of the securities being reported by FMAI is not attributed to FRI, the Principal Shareholders, and their respective affiliates other than FMAI. FMAI disclaims any economic interest or beneficial ownership in any of the securities covered by this statement.</w:t>
      </w:r>
    </w:p>
    <w:p>
      <w:pPr>
        <w:spacing w:after="0" w:line="189" w:lineRule="exact"/>
        <w:rPr>
          <w:sz w:val="20"/>
          <w:szCs w:val="20"/>
          <w:color w:val="auto"/>
        </w:rPr>
      </w:pPr>
    </w:p>
    <w:p>
      <w:pPr>
        <w:ind w:right="3159"/>
        <w:spacing w:after="0" w:line="272" w:lineRule="auto"/>
        <w:rPr>
          <w:sz w:val="20"/>
          <w:szCs w:val="20"/>
          <w:color w:val="auto"/>
        </w:rPr>
      </w:pPr>
      <w:r>
        <w:rPr>
          <w:rFonts w:ascii="Courier New" w:cs="Courier New" w:eastAsia="Courier New" w:hAnsi="Courier New"/>
          <w:sz w:val="16"/>
          <w:szCs w:val="16"/>
          <w:color w:val="auto"/>
        </w:rPr>
        <w:t>Furthermore, FRI, the Principal Shareholders, and their respective affiliates including FMAI, are of the view that they are not acting as a "group" for purposes of Section 13(d) under the 1934 Act and that they are not otherwise required to attribute to each other the "beneficial ownership" of securities held by any of them or by any persons or entities advised by FRI subsidiaries.</w:t>
      </w:r>
    </w:p>
    <w:p>
      <w:pPr>
        <w:spacing w:after="0" w:line="186" w:lineRule="exact"/>
        <w:rPr>
          <w:sz w:val="20"/>
          <w:szCs w:val="20"/>
          <w:color w:val="auto"/>
        </w:rPr>
      </w:pPr>
    </w:p>
    <w:p>
      <w:pPr>
        <w:ind w:left="960" w:right="6739" w:hanging="636"/>
        <w:spacing w:after="0" w:line="470" w:lineRule="auto"/>
        <w:tabs>
          <w:tab w:leader="none" w:pos="749"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572,990</w:t>
      </w:r>
    </w:p>
    <w:p>
      <w:pPr>
        <w:spacing w:after="0" w:line="6"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11.5%</w:t>
      </w:r>
    </w:p>
    <w:p>
      <w:pPr>
        <w:spacing w:after="0" w:line="201"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378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13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w:t>
            </w:r>
          </w:p>
        </w:tc>
      </w:tr>
      <w:tr>
        <w:trPr>
          <w:trHeight w:val="203"/>
        </w:trPr>
        <w:tc>
          <w:tcPr>
            <w:tcW w:w="3780" w:type="dxa"/>
            <w:vAlign w:val="bottom"/>
          </w:tcPr>
          <w:p>
            <w:pPr>
              <w:spacing w:after="0" w:line="203" w:lineRule="exact"/>
              <w:rPr>
                <w:sz w:val="20"/>
                <w:szCs w:val="20"/>
                <w:color w:val="auto"/>
              </w:rPr>
            </w:pPr>
            <w:r>
              <w:rPr>
                <w:rFonts w:ascii="Courier New" w:cs="Courier New" w:eastAsia="Courier New" w:hAnsi="Courier New"/>
                <w:sz w:val="18"/>
                <w:szCs w:val="18"/>
                <w:color w:val="auto"/>
              </w:rPr>
              <w:t>Charles B. Johnson:</w:t>
            </w: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780" w:type="dxa"/>
            <w:vAlign w:val="bottom"/>
          </w:tcPr>
          <w:p>
            <w:pPr>
              <w:spacing w:after="0" w:line="203" w:lineRule="exact"/>
              <w:rPr>
                <w:sz w:val="20"/>
                <w:szCs w:val="20"/>
                <w:color w:val="auto"/>
              </w:rPr>
            </w:pPr>
            <w:r>
              <w:rPr>
                <w:rFonts w:ascii="Courier New" w:cs="Courier New" w:eastAsia="Courier New" w:hAnsi="Courier New"/>
                <w:sz w:val="18"/>
                <w:szCs w:val="18"/>
                <w:color w:val="auto"/>
              </w:rPr>
              <w:t>Rupert H. Johnson, Jr.:</w:t>
            </w: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78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 Mutual Advisers, Inc.:</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572,990</w:t>
            </w:r>
          </w:p>
        </w:tc>
      </w:tr>
    </w:tbl>
    <w:p>
      <w:pPr>
        <w:spacing w:after="0" w:line="200" w:lineRule="exact"/>
        <w:rPr>
          <w:sz w:val="20"/>
          <w:szCs w:val="20"/>
          <w:color w:val="auto"/>
        </w:rPr>
      </w:pPr>
    </w:p>
    <w:p>
      <w:pPr>
        <w:spacing w:after="0" w:line="204" w:lineRule="exact"/>
        <w:rPr>
          <w:sz w:val="20"/>
          <w:szCs w:val="20"/>
          <w:color w:val="auto"/>
        </w:rPr>
      </w:pPr>
    </w:p>
    <w:p>
      <w:pPr>
        <w:ind w:left="960" w:hanging="531"/>
        <w:spacing w:after="0"/>
        <w:tabs>
          <w:tab w:leader="none" w:pos="9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1" w:lineRule="exact"/>
        <w:rPr>
          <w:rFonts w:ascii="Courier New" w:cs="Courier New" w:eastAsia="Courier New" w:hAnsi="Courier New"/>
          <w:sz w:val="18"/>
          <w:szCs w:val="18"/>
          <w:color w:val="auto"/>
        </w:rPr>
      </w:pPr>
    </w:p>
    <w:p>
      <w:pPr>
        <w:ind w:left="960" w:hanging="636"/>
        <w:spacing w:after="0"/>
        <w:tabs>
          <w:tab w:leader="none" w:pos="9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374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Franklin Resources, Inc.:</w:t>
            </w:r>
          </w:p>
        </w:tc>
        <w:tc>
          <w:tcPr>
            <w:tcW w:w="232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rPr>
                <w:sz w:val="17"/>
                <w:szCs w:val="17"/>
                <w:color w:val="auto"/>
              </w:rPr>
            </w:pP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Charles B. Johnson:</w:t>
            </w:r>
          </w:p>
        </w:tc>
        <w:tc>
          <w:tcPr>
            <w:tcW w:w="1680" w:type="dxa"/>
            <w:vAlign w:val="bottom"/>
          </w:tcPr>
          <w:p>
            <w:pPr>
              <w:spacing w:after="0"/>
              <w:rPr>
                <w:sz w:val="17"/>
                <w:szCs w:val="17"/>
                <w:color w:val="auto"/>
              </w:rPr>
            </w:pPr>
          </w:p>
        </w:tc>
        <w:tc>
          <w:tcPr>
            <w:tcW w:w="232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rPr>
                <w:sz w:val="17"/>
                <w:szCs w:val="17"/>
                <w:color w:val="auto"/>
              </w:rPr>
            </w:pP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Rupert H. Johnson,</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Jr.:</w:t>
            </w:r>
          </w:p>
        </w:tc>
        <w:tc>
          <w:tcPr>
            <w:tcW w:w="232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rPr>
                <w:sz w:val="17"/>
                <w:szCs w:val="17"/>
                <w:color w:val="auto"/>
              </w:rPr>
            </w:pPr>
          </w:p>
        </w:tc>
        <w:tc>
          <w:tcPr>
            <w:tcW w:w="37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Franklin Mututal Advisers, Inc.:</w:t>
            </w:r>
          </w:p>
        </w:tc>
        <w:tc>
          <w:tcPr>
            <w:tcW w:w="23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572,990</w:t>
            </w:r>
          </w:p>
        </w:tc>
      </w:tr>
      <w:tr>
        <w:trPr>
          <w:trHeight w:val="608"/>
        </w:trPr>
        <w:tc>
          <w:tcPr>
            <w:tcW w:w="900" w:type="dxa"/>
            <w:vAlign w:val="bottom"/>
          </w:tcPr>
          <w:p>
            <w:pPr>
              <w:ind w:left="420"/>
              <w:spacing w:after="0"/>
              <w:rPr>
                <w:sz w:val="20"/>
                <w:szCs w:val="20"/>
                <w:color w:val="auto"/>
              </w:rPr>
            </w:pPr>
            <w:r>
              <w:rPr>
                <w:rFonts w:ascii="Courier New" w:cs="Courier New" w:eastAsia="Courier New" w:hAnsi="Courier New"/>
                <w:sz w:val="18"/>
                <w:szCs w:val="18"/>
                <w:color w:val="auto"/>
              </w:rPr>
              <w:t>(iv)</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Shared power</w:t>
            </w:r>
          </w:p>
        </w:tc>
        <w:tc>
          <w:tcPr>
            <w:tcW w:w="468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to dispose or to direct the disposition of</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Ownership of</w:t>
            </w:r>
          </w:p>
        </w:tc>
        <w:tc>
          <w:tcPr>
            <w:tcW w:w="468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Five Percent or Less of a Class</w:t>
            </w:r>
          </w:p>
        </w:tc>
      </w:tr>
      <w:tr>
        <w:trPr>
          <w:trHeight w:val="203"/>
        </w:trPr>
        <w:tc>
          <w:tcPr>
            <w:tcW w:w="296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rPr>
              <w:t>If this statement is</w:t>
            </w:r>
          </w:p>
        </w:tc>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being filed to report the fact that as</w:t>
            </w:r>
          </w:p>
        </w:tc>
      </w:tr>
      <w:tr>
        <w:trPr>
          <w:trHeight w:val="203"/>
        </w:trPr>
        <w:tc>
          <w:tcPr>
            <w:tcW w:w="6960" w:type="dxa"/>
            <w:vAlign w:val="bottom"/>
            <w:gridSpan w:val="5"/>
          </w:tcPr>
          <w:p>
            <w:pPr>
              <w:ind w:left="740"/>
              <w:spacing w:after="0" w:line="203" w:lineRule="exact"/>
              <w:rPr>
                <w:sz w:val="20"/>
                <w:szCs w:val="20"/>
                <w:color w:val="auto"/>
              </w:rPr>
            </w:pPr>
            <w:r>
              <w:rPr>
                <w:rFonts w:ascii="Courier New" w:cs="Courier New" w:eastAsia="Courier New" w:hAnsi="Courier New"/>
                <w:sz w:val="18"/>
                <w:szCs w:val="18"/>
                <w:color w:val="auto"/>
              </w:rPr>
              <w:t>of the date hereof the reporting person has ceased to be</w:t>
            </w:r>
          </w:p>
        </w:tc>
      </w:tr>
      <w:tr>
        <w:trPr>
          <w:trHeight w:val="203"/>
        </w:trPr>
        <w:tc>
          <w:tcPr>
            <w:tcW w:w="22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the beneficial</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owner</w:t>
            </w:r>
          </w:p>
        </w:tc>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of more than five percent of the class</w:t>
            </w:r>
          </w:p>
        </w:tc>
      </w:tr>
      <w:tr>
        <w:trPr>
          <w:trHeight w:val="203"/>
        </w:trPr>
        <w:tc>
          <w:tcPr>
            <w:tcW w:w="22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of securities,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check</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the following [</w:t>
            </w:r>
          </w:p>
        </w:tc>
        <w:tc>
          <w:tcPr>
            <w:tcW w:w="2320" w:type="dxa"/>
            <w:vAlign w:val="bottom"/>
          </w:tcPr>
          <w:p>
            <w:pPr>
              <w:jc w:val="right"/>
              <w:ind w:right="19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740" w:right="3259"/>
        <w:spacing w:after="0" w:line="237" w:lineRule="auto"/>
        <w:rPr>
          <w:sz w:val="20"/>
          <w:szCs w:val="20"/>
          <w:color w:val="auto"/>
        </w:rPr>
      </w:pPr>
      <w:r>
        <w:rPr>
          <w:rFonts w:ascii="Courier New" w:cs="Courier New" w:eastAsia="Courier New" w:hAnsi="Courier New"/>
          <w:sz w:val="18"/>
          <w:szCs w:val="18"/>
          <w:color w:val="auto"/>
        </w:rPr>
        <w:t>The clients of Franklin Mutual Advisers, Inc., including investment companies registered under the Investment Company Act of 1940 and other managed accounts, have the right to receive dividends from as well as the proceeds from the sale of such securities reported on in this statement. Mutual Shares, a series of Franklin Mutual Series Fund Inc., a company registered under the Investment Company Act of 1940, has an interest in more than 5% of the class of securities reported on herein.</w:t>
      </w:r>
    </w:p>
    <w:p>
      <w:pPr>
        <w:sectPr>
          <w:pgSz w:w="11900" w:h="16838" w:orient="portrait"/>
          <w:cols w:equalWidth="0" w:num="1">
            <w:col w:w="10219"/>
          </w:cols>
          <w:pgMar w:left="240" w:top="142" w:right="1440" w:bottom="0" w:gutter="0" w:footer="0" w:header="0"/>
        </w:sectPr>
      </w:pPr>
    </w:p>
    <w:bookmarkStart w:id="5" w:name="page6"/>
    <w:bookmarkEnd w:id="5"/>
    <w:p>
      <w:pPr>
        <w:ind w:left="740" w:right="325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By signing below, we certify that, to the best of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1"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This report shall not be construed as an admission by the persons filing the report that they are the beneficial owner of any securities covered by this report.</w:t>
      </w:r>
    </w:p>
    <w:p>
      <w:pPr>
        <w:spacing w:after="0" w:line="209"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our knowledge and belief, we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27,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38" w:lineRule="auto"/>
        <w:rPr>
          <w:sz w:val="20"/>
          <w:szCs w:val="20"/>
          <w:color w:val="auto"/>
        </w:rPr>
      </w:pPr>
      <w:r>
        <w:rPr>
          <w:rFonts w:ascii="Courier New" w:cs="Courier New" w:eastAsia="Courier New" w:hAnsi="Courier New"/>
          <w:sz w:val="18"/>
          <w:szCs w:val="18"/>
          <w:color w:val="auto"/>
        </w:rPr>
        <w:t>Charles B. Johnson</w:t>
      </w:r>
    </w:p>
    <w:p>
      <w:pPr>
        <w:spacing w:after="0"/>
        <w:rPr>
          <w:sz w:val="20"/>
          <w:szCs w:val="20"/>
          <w:color w:val="auto"/>
        </w:rPr>
      </w:pPr>
      <w:r>
        <w:rPr>
          <w:rFonts w:ascii="Courier New" w:cs="Courier New" w:eastAsia="Courier New" w:hAnsi="Courier New"/>
          <w:sz w:val="18"/>
          <w:szCs w:val="18"/>
          <w:color w:val="auto"/>
        </w:rPr>
        <w:t>Rupert H. Johnson, Jr.</w:t>
      </w:r>
    </w:p>
    <w:p>
      <w:pPr>
        <w:spacing w:after="0" w:line="237" w:lineRule="auto"/>
        <w:rPr>
          <w:sz w:val="20"/>
          <w:szCs w:val="20"/>
          <w:color w:val="auto"/>
        </w:rPr>
      </w:pPr>
      <w:r>
        <w:rPr>
          <w:rFonts w:ascii="Courier New" w:cs="Courier New" w:eastAsia="Courier New" w:hAnsi="Courier New"/>
          <w:sz w:val="18"/>
          <w:szCs w:val="18"/>
          <w:color w:val="auto"/>
        </w:rPr>
        <w:t>Franklin Mutual Advisers,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Leslie M. Kratter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and Secretary, Franklin Resources, Inc.</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Attorney in Fact for Charles B. Johnson pursuant to Power of Attorney attached to this Schedule 13G</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Attorney in Fact for Rupert H. Johnson, Jr. pursuant to Power of Attorney attached to this Schedule 13G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 Franklin Mutual Advisers,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In accordance with Rule 13d-1 (f)(1) under the Securities Exchange Act of 1934, as amended, the undersigned hereby agrees to the joint filing with each other of the attached statement on Schedule 13G and to all amendments to such statement and that such statement and all amendments to such statement is made on behalf of each of them.</w:t>
      </w:r>
    </w:p>
    <w:p>
      <w:pPr>
        <w:spacing w:after="0" w:line="18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on</w:t>
      </w:r>
    </w:p>
    <w:p>
      <w:pPr>
        <w:spacing w:after="0"/>
        <w:rPr>
          <w:sz w:val="20"/>
          <w:szCs w:val="20"/>
          <w:color w:val="auto"/>
        </w:rPr>
      </w:pPr>
      <w:r>
        <w:rPr>
          <w:rFonts w:ascii="Courier New" w:cs="Courier New" w:eastAsia="Courier New" w:hAnsi="Courier New"/>
          <w:sz w:val="18"/>
          <w:szCs w:val="18"/>
          <w:color w:val="auto"/>
        </w:rPr>
        <w:t>January 27,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38" w:lineRule="auto"/>
        <w:rPr>
          <w:sz w:val="20"/>
          <w:szCs w:val="20"/>
          <w:color w:val="auto"/>
        </w:rPr>
      </w:pPr>
      <w:r>
        <w:rPr>
          <w:rFonts w:ascii="Courier New" w:cs="Courier New" w:eastAsia="Courier New" w:hAnsi="Courier New"/>
          <w:sz w:val="18"/>
          <w:szCs w:val="18"/>
          <w:color w:val="auto"/>
        </w:rPr>
        <w:t>Charles B. Johnson</w:t>
      </w:r>
    </w:p>
    <w:p>
      <w:pPr>
        <w:spacing w:after="0"/>
        <w:rPr>
          <w:sz w:val="20"/>
          <w:szCs w:val="20"/>
          <w:color w:val="auto"/>
        </w:rPr>
      </w:pPr>
      <w:r>
        <w:rPr>
          <w:rFonts w:ascii="Courier New" w:cs="Courier New" w:eastAsia="Courier New" w:hAnsi="Courier New"/>
          <w:sz w:val="18"/>
          <w:szCs w:val="18"/>
          <w:color w:val="auto"/>
        </w:rPr>
        <w:t>Rupert H. Johnson, Jr.</w:t>
      </w:r>
    </w:p>
    <w:p>
      <w:pPr>
        <w:spacing w:after="0" w:line="237" w:lineRule="auto"/>
        <w:rPr>
          <w:sz w:val="20"/>
          <w:szCs w:val="20"/>
          <w:color w:val="auto"/>
        </w:rPr>
      </w:pPr>
      <w:r>
        <w:rPr>
          <w:rFonts w:ascii="Courier New" w:cs="Courier New" w:eastAsia="Courier New" w:hAnsi="Courier New"/>
          <w:sz w:val="18"/>
          <w:szCs w:val="18"/>
          <w:color w:val="auto"/>
        </w:rPr>
        <w:t>Franklin Mutual Advisers,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ectPr>
          <w:pgSz w:w="11900" w:h="16838" w:orient="portrait"/>
          <w:cols w:equalWidth="0" w:num="1">
            <w:col w:w="10219"/>
          </w:cols>
          <w:pgMar w:left="240" w:top="344" w:right="1440" w:bottom="537"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By: Leslie M. Kratter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and Secretary, Franklin Resources, Inc.</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Attorney in Fact for Charles B. Johnson pursuant to Power of Attorney attached to this Schedule 13G</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Attorney in Fact for Rupert H. Johnson, Jr. pursuant to Power of Attorney attached to this Schedule 13G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 Franklin Mutual Advisers,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CHARLES B. JOHNSON hereby appoints LESLIE M. KRATTER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S\CHARLES B. JOHNSON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RUPERT H. JOHNSON, JR. hereby appoints LESLIE M. KRATTER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S\RUPERT H. JOHNSON, JR.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abstractNum>
  <w:abstractNum w:abstractNumId="1">
    <w:nsid w:val="62BBD95A"/>
    <w:multiLevelType w:val="hybridMultilevel"/>
    <w:lvl w:ilvl="0">
      <w:lvlJc w:val="left"/>
      <w:lvlText w:val="%1."/>
      <w:numFmt w:val="decimal"/>
      <w:start w:val="2"/>
    </w:lvl>
  </w:abstractNum>
  <w:abstractNum w:abstractNumId="2">
    <w:nsid w:val="436C6125"/>
    <w:multiLevelType w:val="hybridMultilevel"/>
    <w:lvl w:ilvl="0">
      <w:lvlJc w:val="left"/>
      <w:lvlText w:val="%1"/>
      <w:numFmt w:val="decimal"/>
      <w:start w:val="1"/>
    </w:lvl>
    <w:lvl w:ilvl="1">
      <w:lvlJc w:val="left"/>
      <w:lvlText w:val="(%2)"/>
      <w:numFmt w:val="lowerLetter"/>
      <w:start w:val="2"/>
    </w:lvl>
  </w:abstractNum>
  <w:abstractNum w:abstractNumId="3">
    <w:nsid w:val="628C895D"/>
    <w:multiLevelType w:val="hybridMultilevel"/>
    <w:lvl w:ilvl="0">
      <w:lvlJc w:val="left"/>
      <w:lvlText w:val="%1."/>
      <w:numFmt w:val="decimal"/>
      <w:start w:val="3"/>
    </w:lvl>
    <w:lvl w:ilvl="1">
      <w:lvlJc w:val="left"/>
      <w:lvlText w:val="%2"/>
      <w:numFmt w:val="lowerLetter"/>
      <w:start w:val="1"/>
    </w:lvl>
  </w:abstractNum>
  <w:abstractNum w:abstractNumId="4">
    <w:nsid w:val="333AB105"/>
    <w:multiLevelType w:val="hybridMultilevel"/>
    <w:lvl w:ilvl="0">
      <w:lvlJc w:val="left"/>
      <w:lvlText w:val="%1"/>
      <w:numFmt w:val="decimal"/>
      <w:start w:val="1"/>
    </w:lvl>
    <w:lvl w:ilvl="1">
      <w:lvlJc w:val="left"/>
      <w:lvlText w:val="%2."/>
      <w:numFmt w:val="decimal"/>
      <w:start w:val="5"/>
    </w:lvl>
  </w:abstractNum>
  <w:abstractNum w:abstractNumId="5">
    <w:nsid w:val="721DA317"/>
    <w:multiLevelType w:val="hybridMultilevel"/>
    <w:lvl w:ilvl="0">
      <w:lvlJc w:val="left"/>
      <w:lvlText w:val="%1."/>
      <w:numFmt w:val="decimal"/>
      <w:start w:val="9"/>
    </w:lvl>
    <w:lvl w:ilvl="1">
      <w:lvlJc w:val="left"/>
      <w:lvlText w:val="%2"/>
      <w:numFmt w:val="decimal"/>
      <w:start w:val="1"/>
    </w:lvl>
  </w:abstractNum>
  <w:abstractNum w:abstractNumId="6">
    <w:nsid w:val="2443A858"/>
    <w:multiLevelType w:val="hybridMultilevel"/>
    <w:lvl w:ilvl="0">
      <w:lvlJc w:val="left"/>
      <w:lvlText w:val="%1."/>
      <w:numFmt w:val="decimal"/>
      <w:start w:val="11"/>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decimal"/>
      <w:start w:val="2"/>
    </w:lvl>
  </w:abstractNum>
  <w:abstractNum w:abstractNumId="9">
    <w:nsid w:val="75A2A8D4"/>
    <w:multiLevelType w:val="hybridMultilevel"/>
    <w:lvl w:ilvl="0">
      <w:lvlJc w:val="left"/>
      <w:lvlText w:val="%1"/>
      <w:numFmt w:val="decimal"/>
      <w:start w:val="1"/>
    </w:lvl>
    <w:lvl w:ilvl="1">
      <w:lvlJc w:val="left"/>
      <w:lvlText w:val="(%2)"/>
      <w:numFmt w:val="lowerLetter"/>
      <w:start w:val="2"/>
    </w:lvl>
  </w:abstractNum>
  <w:abstractNum w:abstractNumId="10">
    <w:nsid w:val="8EDBDAB"/>
    <w:multiLevelType w:val="hybridMultilevel"/>
    <w:lvl w:ilvl="0">
      <w:lvlJc w:val="left"/>
      <w:lvlText w:val="%1."/>
      <w:numFmt w:val="decimal"/>
      <w:start w:val="3"/>
    </w:lvl>
    <w:lvl w:ilvl="1">
      <w:lvlJc w:val="left"/>
      <w:lvlText w:val="%2"/>
      <w:numFmt w:val="lowerLetter"/>
      <w:start w:val="1"/>
    </w:lvl>
  </w:abstractNum>
  <w:abstractNum w:abstractNumId="11">
    <w:nsid w:val="79838CB2"/>
    <w:multiLevelType w:val="hybridMultilevel"/>
    <w:lvl w:ilvl="0">
      <w:lvlJc w:val="left"/>
      <w:lvlText w:val="%1"/>
      <w:numFmt w:val="decimal"/>
      <w:start w:val="1"/>
    </w:lvl>
    <w:lvl w:ilvl="1">
      <w:lvlJc w:val="left"/>
      <w:lvlText w:val="%2."/>
      <w:numFmt w:val="decimal"/>
      <w:start w:val="5"/>
    </w:lvl>
  </w:abstractNum>
  <w:abstractNum w:abstractNumId="12">
    <w:nsid w:val="4353D0CD"/>
    <w:multiLevelType w:val="hybridMultilevel"/>
    <w:lvl w:ilvl="0">
      <w:lvlJc w:val="left"/>
      <w:lvlText w:val="%1."/>
      <w:numFmt w:val="decimal"/>
      <w:start w:val="9"/>
    </w:lvl>
    <w:lvl w:ilvl="1">
      <w:lvlJc w:val="left"/>
      <w:lvlText w:val="%2"/>
      <w:numFmt w:val="decimal"/>
      <w:start w:val="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1."/>
      <w:numFmt w:val="decimal"/>
      <w:start w:val="2"/>
    </w:lvl>
  </w:abstractNum>
  <w:abstractNum w:abstractNumId="15">
    <w:nsid w:val="54E49EB4"/>
    <w:multiLevelType w:val="hybridMultilevel"/>
    <w:lvl w:ilvl="0">
      <w:lvlJc w:val="left"/>
      <w:lvlText w:val="%1"/>
      <w:numFmt w:val="decimal"/>
      <w:start w:val="1"/>
    </w:lvl>
    <w:lvl w:ilvl="1">
      <w:lvlJc w:val="left"/>
      <w:lvlText w:val="(%2)"/>
      <w:numFmt w:val="lowerLetter"/>
      <w:start w:val="2"/>
    </w:lvl>
  </w:abstractNum>
  <w:abstractNum w:abstractNumId="16">
    <w:nsid w:val="71F32454"/>
    <w:multiLevelType w:val="hybridMultilevel"/>
    <w:lvl w:ilvl="0">
      <w:lvlJc w:val="left"/>
      <w:lvlText w:val="%1."/>
      <w:numFmt w:val="decimal"/>
      <w:start w:val="3"/>
    </w:lvl>
    <w:lvl w:ilvl="1">
      <w:lvlJc w:val="left"/>
      <w:lvlText w:val="%2"/>
      <w:numFmt w:val="lowerLetter"/>
      <w:start w:val="1"/>
    </w:lvl>
  </w:abstractNum>
  <w:abstractNum w:abstractNumId="17">
    <w:nsid w:val="2CA88611"/>
    <w:multiLevelType w:val="hybridMultilevel"/>
    <w:lvl w:ilvl="0">
      <w:lvlJc w:val="left"/>
      <w:lvlText w:val="%1"/>
      <w:numFmt w:val="decimal"/>
      <w:start w:val="1"/>
    </w:lvl>
    <w:lvl w:ilvl="1">
      <w:lvlJc w:val="left"/>
      <w:lvlText w:val="%2."/>
      <w:numFmt w:val="decimal"/>
      <w:start w:val="5"/>
    </w:lvl>
  </w:abstractNum>
  <w:abstractNum w:abstractNumId="18">
    <w:nsid w:val="836C40E"/>
    <w:multiLevelType w:val="hybridMultilevel"/>
    <w:lvl w:ilvl="0">
      <w:lvlJc w:val="left"/>
      <w:lvlText w:val="%1."/>
      <w:numFmt w:val="decimal"/>
      <w:start w:val="9"/>
    </w:lvl>
    <w:lvl w:ilvl="1">
      <w:lvlJc w:val="left"/>
      <w:lvlText w:val="%2"/>
      <w:numFmt w:val="decimal"/>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decimal"/>
      <w:start w:val="2"/>
    </w:lvl>
  </w:abstractNum>
  <w:abstractNum w:abstractNumId="21">
    <w:nsid w:val="8138641"/>
    <w:multiLevelType w:val="hybridMultilevel"/>
    <w:lvl w:ilvl="0">
      <w:lvlJc w:val="left"/>
      <w:lvlText w:val="%1"/>
      <w:numFmt w:val="decimal"/>
      <w:start w:val="1"/>
    </w:lvl>
    <w:lvl w:ilvl="1">
      <w:lvlJc w:val="left"/>
      <w:lvlText w:val="(%2)"/>
      <w:numFmt w:val="lowerLetter"/>
      <w:start w:val="2"/>
    </w:lvl>
  </w:abstractNum>
  <w:abstractNum w:abstractNumId="22">
    <w:nsid w:val="1E7FF521"/>
    <w:multiLevelType w:val="hybridMultilevel"/>
    <w:lvl w:ilvl="0">
      <w:lvlJc w:val="left"/>
      <w:lvlText w:val="%1."/>
      <w:numFmt w:val="decimal"/>
      <w:start w:val="3"/>
    </w:lvl>
    <w:lvl w:ilvl="1">
      <w:lvlJc w:val="left"/>
      <w:lvlText w:val="%2"/>
      <w:numFmt w:val="lowerLetter"/>
      <w:start w:val="1"/>
    </w:lvl>
  </w:abstractNum>
  <w:abstractNum w:abstractNumId="23">
    <w:nsid w:val="7C3DBD3D"/>
    <w:multiLevelType w:val="hybridMultilevel"/>
    <w:lvl w:ilvl="0">
      <w:lvlJc w:val="left"/>
      <w:lvlText w:val="%1"/>
      <w:numFmt w:val="decimal"/>
      <w:start w:val="1"/>
    </w:lvl>
    <w:lvl w:ilvl="1">
      <w:lvlJc w:val="left"/>
      <w:lvlText w:val="%2."/>
      <w:numFmt w:val="decimal"/>
      <w:start w:val="5"/>
    </w:lvl>
  </w:abstractNum>
  <w:abstractNum w:abstractNumId="24">
    <w:nsid w:val="737B8DDC"/>
    <w:multiLevelType w:val="hybridMultilevel"/>
    <w:lvl w:ilvl="0">
      <w:lvlJc w:val="left"/>
      <w:lvlText w:val="%1."/>
      <w:numFmt w:val="decimal"/>
      <w:start w:val="9"/>
    </w:lvl>
    <w:lvl w:ilvl="1">
      <w:lvlJc w:val="left"/>
      <w:lvlText w:val="%2"/>
      <w:numFmt w:val="decimal"/>
      <w:start w:val="1"/>
    </w:lvl>
  </w:abstractNum>
  <w:abstractNum w:abstractNumId="25">
    <w:nsid w:val="6CEAF087"/>
    <w:multiLevelType w:val="hybridMultilevel"/>
    <w:lvl w:ilvl="0">
      <w:lvlJc w:val="left"/>
      <w:lvlText w:val="%1."/>
      <w:numFmt w:val="decimal"/>
      <w:start w:val="12"/>
    </w:lvl>
  </w:abstractNum>
  <w:abstractNum w:abstractNumId="26">
    <w:nsid w:val="22221A70"/>
    <w:multiLevelType w:val="hybridMultilevel"/>
    <w:lvl w:ilvl="0">
      <w:lvlJc w:val="left"/>
      <w:lvlText w:val="(%1)"/>
      <w:numFmt w:val="lowerLetter"/>
      <w:start w:val="1"/>
    </w:lvl>
  </w:abstractNum>
  <w:abstractNum w:abstractNumId="27">
    <w:nsid w:val="4516DDE9"/>
    <w:multiLevelType w:val="hybridMultilevel"/>
    <w:lvl w:ilvl="0">
      <w:lvlJc w:val="left"/>
      <w:lvlText w:val="(%1)"/>
      <w:numFmt w:val="lowerLetter"/>
      <w:start w:val="1"/>
    </w:lvl>
  </w:abstractNum>
  <w:abstractNum w:abstractNumId="28">
    <w:nsid w:val="3006C83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29">
    <w:nsid w:val="614FD4A1"/>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30">
    <w:nsid w:val="419AC241"/>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1"/>
    </w:lvl>
  </w:abstractNum>
  <w:abstractNum w:abstractNumId="31">
    <w:nsid w:val="5577F8E1"/>
    <w:multiLevelType w:val="hybridMultilevel"/>
    <w:lvl w:ilvl="0">
      <w:lvlJc w:val="left"/>
      <w:lvlText w:val="(%1)"/>
      <w:numFmt w:val="lowerLetter"/>
      <w:start w:val="9"/>
    </w:lvl>
    <w:lvl w:ilvl="1">
      <w:lvlJc w:val="left"/>
      <w:lvlText w:val="(%2)"/>
      <w:numFmt w:val="lowerLetter"/>
      <w:start w:val="7"/>
    </w:lvl>
  </w:abstractNum>
  <w:abstractNum w:abstractNumId="32">
    <w:nsid w:val="440BADFC"/>
    <w:multiLevelType w:val="hybridMultilevel"/>
    <w:lvl w:ilvl="0">
      <w:lvlJc w:val="left"/>
      <w:lvlText w:val="(%1)"/>
      <w:numFmt w:val="lowerLetter"/>
      <w:start w:val="35"/>
    </w:lvl>
    <w:lvl w:ilvl="1">
      <w:lvlJc w:val="left"/>
      <w:lvlText w:val="%2"/>
      <w:numFmt w:val="lowerLetter"/>
      <w:start w:val="1"/>
    </w:lvl>
  </w:abstractNum>
  <w:abstractNum w:abstractNumId="33">
    <w:nsid w:val="5072367"/>
    <w:multiLevelType w:val="hybridMultilevel"/>
    <w:lvl w:ilvl="0">
      <w:lvlJc w:val="left"/>
      <w:lvlText w:val="(%1)"/>
      <w:numFmt w:val="lowerLetter"/>
      <w:start w:val="7"/>
    </w:lvl>
  </w:abstractNum>
  <w:abstractNum w:abstractNumId="34">
    <w:nsid w:val="3804823E"/>
    <w:multiLevelType w:val="hybridMultilevel"/>
    <w:lvl w:ilvl="0">
      <w:lvlJc w:val="left"/>
      <w:lvlText w:val="%1"/>
      <w:numFmt w:val="lowerRoman"/>
      <w:start w:val="1"/>
    </w:lvl>
    <w:lvl w:ilvl="1">
      <w:lvlJc w:val="left"/>
      <w:lvlText w:val="(%2)"/>
      <w:numFmt w:val="lowerLetter"/>
      <w:start w:val="7"/>
    </w:lvl>
  </w:abstractNum>
  <w:abstractNum w:abstractNumId="35">
    <w:nsid w:val="77465F01"/>
    <w:multiLevelType w:val="hybridMultilevel"/>
    <w:lvl w:ilvl="0">
      <w:lvlJc w:val="left"/>
      <w:lvlText w:val="(%1)"/>
      <w:numFmt w:val="lowerRoman"/>
      <w:start w:val="4"/>
    </w:lvl>
    <w:lvl w:ilvl="1">
      <w:lvlJc w:val="left"/>
      <w:lvlText w:val="(%2)"/>
      <w:numFmt w:val="lowerLetter"/>
      <w:start w:val="5"/>
    </w:lvl>
  </w:abstractNum>
  <w:abstractNum w:abstractNumId="36">
    <w:nsid w:val="7724C67E"/>
    <w:multiLevelType w:val="hybridMultilevel"/>
    <w:lvl w:ilvl="0">
      <w:lvlJc w:val="left"/>
      <w:lvlText w:val="(%1)"/>
      <w:numFmt w:val="lowerLetter"/>
      <w:start w:val="1"/>
    </w:lvl>
    <w:lvl w:ilvl="1">
      <w:lvlJc w:val="left"/>
      <w:lvlText w:val="(%2)"/>
      <w:numFmt w:val="lowerLetter"/>
      <w:start w:val="9"/>
    </w:lvl>
  </w:abstractNum>
  <w:abstractNum w:abstractNumId="37">
    <w:nsid w:val="5C482A97"/>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2020-02-22T21:09:58Z</dcterms:created>
  <dcterms:modified xsi:type="dcterms:W3CDTF">2020-02-22T21:09:58Z</dcterms:modified>
</cp:coreProperties>
</file>